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092374" w:rsidRDefault="00D11D25">
      <w:pPr>
        <w:tabs>
          <w:tab w:val="center" w:pos="4536"/>
          <w:tab w:val="right" w:pos="9639"/>
        </w:tabs>
        <w:spacing w:beforeLines="0" w:after="120"/>
        <w:ind w:right="2"/>
        <w:rPr>
          <w:rFonts w:ascii="Arial" w:hAnsi="Arial" w:cs="Arial"/>
          <w:b/>
          <w:bCs/>
          <w:sz w:val="22"/>
          <w:szCs w:val="22"/>
        </w:rPr>
      </w:pPr>
      <w:r>
        <w:rPr>
          <w:rFonts w:ascii="Arial" w:hAnsi="Arial" w:cs="Arial"/>
          <w:b/>
          <w:bCs/>
          <w:sz w:val="22"/>
          <w:szCs w:val="22"/>
        </w:rPr>
        <w:t xml:space="preserve">3GPP TSG RAN WG1 </w:t>
      </w:r>
      <w:r>
        <w:rPr>
          <w:rFonts w:ascii="Arial" w:hAnsi="Arial" w:cs="Arial" w:hint="eastAsia"/>
          <w:b/>
          <w:bCs/>
          <w:sz w:val="22"/>
          <w:szCs w:val="22"/>
        </w:rPr>
        <w:t>#</w:t>
      </w:r>
      <w:r>
        <w:rPr>
          <w:rFonts w:ascii="Arial" w:hAnsi="Arial" w:cs="Arial"/>
          <w:b/>
          <w:bCs/>
          <w:sz w:val="22"/>
          <w:szCs w:val="22"/>
        </w:rPr>
        <w:t>104</w:t>
      </w:r>
      <w:r>
        <w:rPr>
          <w:rFonts w:ascii="Arial" w:hAnsi="Arial" w:cs="Arial" w:hint="eastAsia"/>
          <w:b/>
          <w:bCs/>
          <w:sz w:val="22"/>
          <w:szCs w:val="22"/>
        </w:rPr>
        <w:t>bis-</w:t>
      </w:r>
      <w:r>
        <w:rPr>
          <w:rFonts w:ascii="Arial" w:hAnsi="Arial" w:cs="Arial"/>
          <w:b/>
          <w:bCs/>
          <w:sz w:val="22"/>
          <w:szCs w:val="22"/>
        </w:rPr>
        <w:t>e</w:t>
      </w:r>
      <w:r>
        <w:rPr>
          <w:rFonts w:ascii="Arial" w:hAnsi="Arial" w:cs="Arial"/>
          <w:b/>
          <w:bCs/>
          <w:sz w:val="22"/>
          <w:szCs w:val="22"/>
        </w:rPr>
        <w:tab/>
      </w:r>
      <w:r>
        <w:rPr>
          <w:rFonts w:ascii="Arial" w:hAnsi="Arial" w:cs="Arial"/>
          <w:b/>
          <w:bCs/>
          <w:sz w:val="22"/>
          <w:szCs w:val="22"/>
        </w:rPr>
        <w:tab/>
        <w:t>R1-</w:t>
      </w:r>
      <w:r>
        <w:rPr>
          <w:rFonts w:ascii="Arial" w:hAnsi="Arial" w:cs="Arial" w:hint="eastAsia"/>
          <w:b/>
          <w:bCs/>
          <w:sz w:val="22"/>
          <w:szCs w:val="22"/>
        </w:rPr>
        <w:t>2</w:t>
      </w:r>
      <w:r>
        <w:rPr>
          <w:rFonts w:ascii="Arial" w:hAnsi="Arial" w:cs="Arial"/>
          <w:b/>
          <w:bCs/>
          <w:sz w:val="22"/>
          <w:szCs w:val="22"/>
        </w:rPr>
        <w:t>1</w:t>
      </w:r>
      <w:r>
        <w:rPr>
          <w:rFonts w:ascii="Arial" w:hAnsi="Arial" w:cs="Arial" w:hint="eastAsia"/>
          <w:b/>
          <w:bCs/>
          <w:sz w:val="22"/>
          <w:szCs w:val="22"/>
        </w:rPr>
        <w:t>03497</w:t>
      </w:r>
    </w:p>
    <w:p w:rsidR="00092374" w:rsidRDefault="00D11D25">
      <w:pPr>
        <w:tabs>
          <w:tab w:val="center" w:pos="4536"/>
          <w:tab w:val="right" w:pos="9639"/>
        </w:tabs>
        <w:spacing w:beforeLines="0" w:after="120"/>
        <w:ind w:right="2"/>
        <w:rPr>
          <w:rFonts w:ascii="Arial" w:hAnsi="Arial" w:cs="Arial"/>
          <w:b/>
          <w:bCs/>
          <w:sz w:val="22"/>
          <w:szCs w:val="22"/>
        </w:rPr>
      </w:pPr>
      <w:r>
        <w:rPr>
          <w:rFonts w:ascii="Arial" w:hAnsi="Arial" w:cs="Arial"/>
          <w:b/>
          <w:bCs/>
          <w:sz w:val="22"/>
          <w:szCs w:val="22"/>
          <w:lang w:eastAsia="ja-JP"/>
        </w:rPr>
        <w:t xml:space="preserve">e-Meeting, </w:t>
      </w:r>
      <w:r>
        <w:rPr>
          <w:rFonts w:ascii="Arial" w:hAnsi="Arial" w:cs="Arial" w:hint="eastAsia"/>
          <w:b/>
          <w:bCs/>
          <w:sz w:val="22"/>
          <w:szCs w:val="22"/>
        </w:rPr>
        <w:t>April</w:t>
      </w:r>
      <w:r>
        <w:rPr>
          <w:rFonts w:ascii="Arial" w:hAnsi="Arial" w:cs="Arial"/>
          <w:b/>
          <w:bCs/>
          <w:sz w:val="22"/>
          <w:szCs w:val="22"/>
        </w:rPr>
        <w:t xml:space="preserve"> </w:t>
      </w:r>
      <w:r>
        <w:rPr>
          <w:rFonts w:ascii="Arial" w:hAnsi="Arial" w:cs="Arial" w:hint="eastAsia"/>
          <w:b/>
          <w:bCs/>
          <w:sz w:val="22"/>
          <w:szCs w:val="22"/>
        </w:rPr>
        <w:t>12</w:t>
      </w:r>
      <w:r>
        <w:rPr>
          <w:rFonts w:ascii="Arial" w:hAnsi="Arial" w:cs="Arial"/>
          <w:b/>
          <w:bCs/>
          <w:sz w:val="22"/>
          <w:szCs w:val="22"/>
          <w:vertAlign w:val="superscript"/>
          <w:lang w:eastAsia="ja-JP"/>
        </w:rPr>
        <w:t>th</w:t>
      </w:r>
      <w:r>
        <w:rPr>
          <w:rFonts w:ascii="Arial" w:hAnsi="Arial" w:cs="Arial"/>
          <w:b/>
          <w:bCs/>
          <w:sz w:val="22"/>
          <w:szCs w:val="22"/>
          <w:lang w:eastAsia="ja-JP"/>
        </w:rPr>
        <w:t xml:space="preserve"> – </w:t>
      </w:r>
      <w:r>
        <w:rPr>
          <w:rFonts w:ascii="Arial" w:hAnsi="Arial" w:cs="Arial" w:hint="eastAsia"/>
          <w:b/>
          <w:bCs/>
          <w:sz w:val="22"/>
          <w:szCs w:val="22"/>
        </w:rPr>
        <w:t>20</w:t>
      </w:r>
      <w:r>
        <w:rPr>
          <w:rFonts w:ascii="Arial" w:hAnsi="Arial" w:cs="Arial"/>
          <w:b/>
          <w:bCs/>
          <w:sz w:val="22"/>
          <w:szCs w:val="22"/>
          <w:vertAlign w:val="superscript"/>
          <w:lang w:eastAsia="ja-JP"/>
        </w:rPr>
        <w:t>th</w:t>
      </w:r>
      <w:r>
        <w:rPr>
          <w:rFonts w:ascii="Arial" w:hAnsi="Arial" w:cs="Arial"/>
          <w:b/>
          <w:bCs/>
          <w:sz w:val="22"/>
          <w:szCs w:val="22"/>
          <w:lang w:eastAsia="ja-JP"/>
        </w:rPr>
        <w:t xml:space="preserve">, </w:t>
      </w:r>
      <w:r>
        <w:rPr>
          <w:rFonts w:ascii="Arial" w:hAnsi="Arial" w:cs="Arial" w:hint="eastAsia"/>
          <w:b/>
          <w:bCs/>
          <w:sz w:val="22"/>
          <w:szCs w:val="22"/>
        </w:rPr>
        <w:t>2021</w:t>
      </w:r>
    </w:p>
    <w:p w:rsidR="00092374" w:rsidRDefault="00D11D25">
      <w:pPr>
        <w:tabs>
          <w:tab w:val="left" w:pos="1985"/>
        </w:tabs>
        <w:spacing w:beforeLines="100" w:before="240" w:after="120"/>
        <w:ind w:left="1987" w:hanging="1987"/>
        <w:rPr>
          <w:rFonts w:ascii="Arial" w:hAnsi="Arial"/>
          <w:b/>
          <w:sz w:val="22"/>
          <w:szCs w:val="22"/>
        </w:rPr>
      </w:pPr>
      <w:r>
        <w:rPr>
          <w:rFonts w:ascii="Arial" w:hAnsi="Arial"/>
          <w:b/>
          <w:sz w:val="22"/>
          <w:szCs w:val="22"/>
        </w:rPr>
        <w:t xml:space="preserve">Title: </w:t>
      </w:r>
      <w:r>
        <w:rPr>
          <w:rFonts w:ascii="Arial" w:hAnsi="Arial"/>
          <w:b/>
          <w:sz w:val="22"/>
          <w:szCs w:val="22"/>
        </w:rPr>
        <w:tab/>
        <w:t>Enhancements to the IAB resource multiplexing</w:t>
      </w:r>
    </w:p>
    <w:p w:rsidR="00092374" w:rsidRDefault="00D11D25">
      <w:pPr>
        <w:tabs>
          <w:tab w:val="left" w:pos="1985"/>
        </w:tabs>
        <w:spacing w:before="120" w:after="120"/>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t>ZTE, Sanechips</w:t>
      </w:r>
    </w:p>
    <w:p w:rsidR="00092374" w:rsidRDefault="00D11D25">
      <w:pPr>
        <w:tabs>
          <w:tab w:val="left" w:pos="1985"/>
        </w:tabs>
        <w:spacing w:before="120" w:after="120"/>
        <w:rPr>
          <w:b/>
          <w:sz w:val="22"/>
          <w:szCs w:val="22"/>
        </w:rPr>
      </w:pPr>
      <w:r>
        <w:rPr>
          <w:rFonts w:ascii="Arial" w:hAnsi="Arial"/>
          <w:b/>
          <w:sz w:val="22"/>
          <w:szCs w:val="22"/>
          <w:lang w:val="pt-BR"/>
        </w:rPr>
        <w:t>Agenda item:</w:t>
      </w:r>
      <w:r>
        <w:rPr>
          <w:rFonts w:ascii="Arial" w:hAnsi="Arial"/>
          <w:b/>
          <w:sz w:val="22"/>
          <w:szCs w:val="22"/>
          <w:lang w:val="pt-BR"/>
        </w:rPr>
        <w:tab/>
      </w:r>
      <w:r>
        <w:rPr>
          <w:rFonts w:ascii="Arial" w:hAnsi="Arial"/>
          <w:b/>
          <w:sz w:val="22"/>
          <w:szCs w:val="22"/>
        </w:rPr>
        <w:t>8.10.1</w:t>
      </w:r>
    </w:p>
    <w:p w:rsidR="00092374" w:rsidRDefault="00D11D25">
      <w:pPr>
        <w:tabs>
          <w:tab w:val="left" w:pos="1985"/>
        </w:tabs>
        <w:spacing w:before="120" w:after="120"/>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ascii="Arial" w:hAnsi="Arial" w:hint="eastAsia"/>
          <w:b/>
          <w:sz w:val="22"/>
          <w:szCs w:val="22"/>
        </w:rPr>
        <w:t>Discussion</w:t>
      </w:r>
      <w:r>
        <w:rPr>
          <w:rFonts w:ascii="Arial" w:hAnsi="Arial"/>
          <w:b/>
          <w:sz w:val="22"/>
          <w:szCs w:val="22"/>
        </w:rPr>
        <w:t xml:space="preserve"> and decision</w:t>
      </w:r>
    </w:p>
    <w:p w:rsidR="00092374" w:rsidRDefault="00D11D25">
      <w:pPr>
        <w:pStyle w:val="1"/>
        <w:spacing w:before="120" w:after="120"/>
        <w:ind w:left="0"/>
        <w:rPr>
          <w:rFonts w:eastAsia="宋体"/>
        </w:rPr>
      </w:pPr>
      <w:r>
        <w:rPr>
          <w:rFonts w:eastAsia="宋体" w:hint="eastAsia"/>
        </w:rPr>
        <w:t>Introduction</w:t>
      </w:r>
    </w:p>
    <w:p w:rsidR="00092374" w:rsidRDefault="00D11D25">
      <w:pPr>
        <w:spacing w:before="120" w:after="120"/>
        <w:rPr>
          <w:sz w:val="20"/>
        </w:rPr>
      </w:pPr>
      <w:r>
        <w:rPr>
          <w:sz w:val="20"/>
        </w:rPr>
        <w:t>In order to support simultaneous</w:t>
      </w:r>
      <w:r>
        <w:rPr>
          <w:sz w:val="20"/>
        </w:rPr>
        <w:t xml:space="preserve"> operation by IAB</w:t>
      </w:r>
      <w:r>
        <w:rPr>
          <w:rFonts w:hint="eastAsia"/>
          <w:sz w:val="20"/>
        </w:rPr>
        <w:t xml:space="preserve"> </w:t>
      </w:r>
      <w:r>
        <w:rPr>
          <w:sz w:val="20"/>
        </w:rPr>
        <w:t xml:space="preserve">node’s child and parent links, some enhancements such as </w:t>
      </w:r>
      <w:r>
        <w:rPr>
          <w:rFonts w:hint="eastAsia"/>
          <w:sz w:val="20"/>
        </w:rPr>
        <w:t xml:space="preserve">extension of the semi-static DU resource type indication to frequency domain, resource management in the spatial domain, </w:t>
      </w:r>
      <w:r>
        <w:rPr>
          <w:sz w:val="20"/>
        </w:rPr>
        <w:t xml:space="preserve">dual-connectivity </w:t>
      </w:r>
      <w:r>
        <w:rPr>
          <w:rFonts w:hint="eastAsia"/>
          <w:sz w:val="20"/>
        </w:rPr>
        <w:t xml:space="preserve">etc. </w:t>
      </w:r>
      <w:r>
        <w:rPr>
          <w:sz w:val="20"/>
        </w:rPr>
        <w:t xml:space="preserve">had been discussed. In this </w:t>
      </w:r>
      <w:r>
        <w:rPr>
          <w:sz w:val="20"/>
        </w:rPr>
        <w:t>contribution, we will continue to provide views on these aspects</w:t>
      </w:r>
      <w:r>
        <w:rPr>
          <w:rFonts w:hint="eastAsia"/>
          <w:sz w:val="20"/>
        </w:rPr>
        <w:t>.</w:t>
      </w:r>
    </w:p>
    <w:p w:rsidR="00092374" w:rsidRDefault="00D11D25">
      <w:pPr>
        <w:pStyle w:val="1"/>
        <w:spacing w:before="120" w:after="120"/>
        <w:ind w:left="0"/>
      </w:pPr>
      <w:r>
        <w:rPr>
          <w:rFonts w:hint="eastAsia"/>
        </w:rPr>
        <w:t>Discussion</w:t>
      </w:r>
      <w:r>
        <w:t>s</w:t>
      </w:r>
      <w:r>
        <w:rPr>
          <w:rFonts w:hint="eastAsia"/>
        </w:rPr>
        <w:t xml:space="preserve"> </w:t>
      </w:r>
    </w:p>
    <w:p w:rsidR="00092374" w:rsidRDefault="00D11D25">
      <w:pPr>
        <w:pStyle w:val="2"/>
        <w:spacing w:before="120" w:after="120"/>
        <w:ind w:left="991" w:right="210" w:hangingChars="354" w:hanging="991"/>
        <w:rPr>
          <w:szCs w:val="22"/>
        </w:rPr>
      </w:pPr>
      <w:r>
        <w:rPr>
          <w:rFonts w:eastAsia="宋体" w:cs="Arial" w:hint="eastAsia"/>
        </w:rPr>
        <w:t>E</w:t>
      </w:r>
      <w:r>
        <w:rPr>
          <w:rFonts w:cs="Arial"/>
        </w:rPr>
        <w:t>xtension of the semi-static DU resource type indication to frequency</w:t>
      </w:r>
      <w:r>
        <w:rPr>
          <w:rFonts w:eastAsia="宋体" w:cs="Arial" w:hint="eastAsia"/>
        </w:rPr>
        <w:t xml:space="preserve"> </w:t>
      </w:r>
      <w:r>
        <w:rPr>
          <w:rFonts w:cs="Arial"/>
        </w:rPr>
        <w:t>domain</w:t>
      </w:r>
    </w:p>
    <w:p w:rsidR="00092374" w:rsidRDefault="00D11D25">
      <w:pPr>
        <w:spacing w:before="120" w:after="120"/>
        <w:rPr>
          <w:sz w:val="20"/>
        </w:rPr>
      </w:pPr>
      <w:r>
        <w:rPr>
          <w:sz w:val="20"/>
        </w:rPr>
        <w:t>The following agreements have been made in RAN1#10</w:t>
      </w:r>
      <w:r>
        <w:rPr>
          <w:rFonts w:hint="eastAsia"/>
          <w:sz w:val="20"/>
        </w:rPr>
        <w:t>4</w:t>
      </w:r>
      <w:r>
        <w:rPr>
          <w:sz w:val="20"/>
        </w:rPr>
        <w:t>-e on semi-static resource configuration</w:t>
      </w:r>
      <w:r>
        <w:rPr>
          <w:rFonts w:hint="eastAsia"/>
          <w:sz w:val="20"/>
        </w:rPr>
        <w:t xml:space="preserve"> and dyna</w:t>
      </w:r>
      <w:r>
        <w:rPr>
          <w:rFonts w:hint="eastAsia"/>
          <w:sz w:val="20"/>
        </w:rPr>
        <w:t>mic indication of availability for soft frequency resources</w:t>
      </w:r>
      <w:r>
        <w:rPr>
          <w:sz w:val="20"/>
        </w:rPr>
        <w:t xml:space="preserve"> for DU[1]:</w:t>
      </w:r>
    </w:p>
    <w:tbl>
      <w:tblPr>
        <w:tblStyle w:val="aa"/>
        <w:tblW w:w="0" w:type="auto"/>
        <w:tblLook w:val="04A0" w:firstRow="1" w:lastRow="0" w:firstColumn="1" w:lastColumn="0" w:noHBand="0" w:noVBand="1"/>
      </w:tblPr>
      <w:tblGrid>
        <w:gridCol w:w="9876"/>
      </w:tblGrid>
      <w:tr w:rsidR="00092374">
        <w:trPr>
          <w:trHeight w:val="1120"/>
        </w:trPr>
        <w:tc>
          <w:tcPr>
            <w:tcW w:w="9876" w:type="dxa"/>
          </w:tcPr>
          <w:p w:rsidR="00092374" w:rsidRDefault="00D11D25">
            <w:pPr>
              <w:pStyle w:val="ae"/>
              <w:spacing w:after="120"/>
              <w:ind w:left="0"/>
              <w:rPr>
                <w:rFonts w:eastAsia="Calibri" w:cs="Times"/>
                <w:b/>
                <w:bCs/>
                <w:sz w:val="20"/>
                <w:szCs w:val="20"/>
                <w:highlight w:val="green"/>
              </w:rPr>
            </w:pPr>
            <w:r>
              <w:rPr>
                <w:rFonts w:eastAsia="Calibri" w:cs="Times"/>
                <w:b/>
                <w:bCs/>
                <w:sz w:val="20"/>
                <w:szCs w:val="20"/>
                <w:highlight w:val="green"/>
              </w:rPr>
              <w:t>Agreement</w:t>
            </w:r>
          </w:p>
          <w:p w:rsidR="00092374" w:rsidRDefault="00D11D25">
            <w:pPr>
              <w:spacing w:before="120" w:after="120"/>
              <w:rPr>
                <w:rFonts w:eastAsia="Calibri" w:cs="Times"/>
                <w:bCs/>
                <w:sz w:val="20"/>
              </w:rPr>
            </w:pPr>
            <w:r>
              <w:rPr>
                <w:rFonts w:eastAsia="Calibri" w:cs="Times"/>
                <w:bCs/>
                <w:sz w:val="20"/>
              </w:rPr>
              <w:t>Further consider until RAN1#104bis-e whether to support the extension of the semi-static DU resource type indication to frequency-domain resources within a carrier (in additio</w:t>
            </w:r>
            <w:r>
              <w:rPr>
                <w:rFonts w:eastAsia="Calibri" w:cs="Times"/>
                <w:bCs/>
                <w:sz w:val="20"/>
              </w:rPr>
              <w:t>n to existing Rel-16 per-carrier granularity) for H/[S]/NA resource types, including the following aspects:</w:t>
            </w:r>
          </w:p>
          <w:p w:rsidR="00092374" w:rsidRDefault="00D11D25">
            <w:pPr>
              <w:numPr>
                <w:ilvl w:val="0"/>
                <w:numId w:val="8"/>
              </w:numPr>
              <w:spacing w:before="120" w:after="120"/>
              <w:rPr>
                <w:rFonts w:cs="Times"/>
                <w:sz w:val="20"/>
              </w:rPr>
            </w:pPr>
            <w:r>
              <w:rPr>
                <w:rFonts w:cs="Times"/>
                <w:sz w:val="20"/>
              </w:rPr>
              <w:t>Granularity for frequency domain resources within a carrier (starting point is a set of N RBs with FFS: value of N &gt;=1)</w:t>
            </w:r>
          </w:p>
          <w:p w:rsidR="00092374" w:rsidRDefault="00D11D25">
            <w:pPr>
              <w:numPr>
                <w:ilvl w:val="0"/>
                <w:numId w:val="8"/>
              </w:numPr>
              <w:spacing w:before="120" w:after="120"/>
              <w:rPr>
                <w:rFonts w:cs="Times"/>
                <w:sz w:val="20"/>
              </w:rPr>
            </w:pPr>
            <w:r>
              <w:rPr>
                <w:rFonts w:cs="Times"/>
                <w:sz w:val="20"/>
              </w:rPr>
              <w:t xml:space="preserve">Relationship with Rel-16 DU </w:t>
            </w:r>
            <w:r>
              <w:rPr>
                <w:rFonts w:cs="Times"/>
                <w:sz w:val="20"/>
              </w:rPr>
              <w:t>resource type indications in case of coexistence between TDM and FDM operation, including time-granularity of switching between multiplexing options to ensure backwards compatibility with Rel-16 IAB nodes and avoid impact on access UEs and their RRC config</w:t>
            </w:r>
            <w:r>
              <w:rPr>
                <w:rFonts w:cs="Times"/>
                <w:sz w:val="20"/>
              </w:rPr>
              <w:t>urations at CU</w:t>
            </w:r>
          </w:p>
          <w:p w:rsidR="00092374" w:rsidRDefault="00D11D25">
            <w:pPr>
              <w:numPr>
                <w:ilvl w:val="0"/>
                <w:numId w:val="8"/>
              </w:numPr>
              <w:spacing w:before="120" w:after="120"/>
              <w:rPr>
                <w:rFonts w:cs="Times"/>
                <w:sz w:val="20"/>
              </w:rPr>
            </w:pPr>
            <w:r>
              <w:rPr>
                <w:rFonts w:cs="Times"/>
                <w:sz w:val="20"/>
              </w:rPr>
              <w:t xml:space="preserve">In case frequency-domain extension is supported for soft resources, enhancements for DCI format 2_5 to support dynamic indication of availability for soft frequency resources. </w:t>
            </w:r>
          </w:p>
          <w:p w:rsidR="00092374" w:rsidRDefault="00D11D25">
            <w:pPr>
              <w:pStyle w:val="ae"/>
              <w:numPr>
                <w:ilvl w:val="1"/>
                <w:numId w:val="9"/>
              </w:numPr>
              <w:spacing w:after="120"/>
              <w:rPr>
                <w:rFonts w:eastAsia="Calibri" w:cs="Times"/>
                <w:bCs/>
                <w:sz w:val="20"/>
                <w:szCs w:val="20"/>
              </w:rPr>
            </w:pPr>
            <w:r>
              <w:rPr>
                <w:rFonts w:eastAsia="Calibri" w:cs="Times"/>
                <w:bCs/>
                <w:sz w:val="20"/>
                <w:szCs w:val="20"/>
              </w:rPr>
              <w:t xml:space="preserve">Alt. 1 Separate indication of time and frequency resources </w:t>
            </w:r>
          </w:p>
          <w:p w:rsidR="00092374" w:rsidRDefault="00D11D25">
            <w:pPr>
              <w:pStyle w:val="ae"/>
              <w:numPr>
                <w:ilvl w:val="2"/>
                <w:numId w:val="9"/>
              </w:numPr>
              <w:spacing w:after="120"/>
              <w:rPr>
                <w:rFonts w:eastAsia="Calibri" w:cs="Times"/>
                <w:bCs/>
                <w:sz w:val="20"/>
                <w:szCs w:val="20"/>
              </w:rPr>
            </w:pPr>
            <w:r>
              <w:rPr>
                <w:rFonts w:eastAsia="Calibri" w:cs="Times"/>
                <w:bCs/>
                <w:sz w:val="20"/>
                <w:szCs w:val="20"/>
              </w:rPr>
              <w:t>FFS:</w:t>
            </w:r>
            <w:r>
              <w:rPr>
                <w:rFonts w:eastAsia="Calibri" w:cs="Times"/>
                <w:bCs/>
                <w:sz w:val="20"/>
                <w:szCs w:val="20"/>
              </w:rPr>
              <w:t xml:space="preserve"> different field, RNTI or different DCI</w:t>
            </w:r>
          </w:p>
          <w:p w:rsidR="00092374" w:rsidRDefault="00D11D25">
            <w:pPr>
              <w:pStyle w:val="ae"/>
              <w:numPr>
                <w:ilvl w:val="1"/>
                <w:numId w:val="9"/>
              </w:numPr>
              <w:spacing w:after="120"/>
              <w:rPr>
                <w:rFonts w:eastAsia="Calibri" w:cs="Times"/>
                <w:bCs/>
                <w:sz w:val="20"/>
                <w:szCs w:val="20"/>
              </w:rPr>
            </w:pPr>
            <w:r>
              <w:rPr>
                <w:rFonts w:eastAsia="Calibri" w:cs="Times"/>
                <w:bCs/>
                <w:sz w:val="20"/>
                <w:szCs w:val="20"/>
              </w:rPr>
              <w:t xml:space="preserve">Alt. 2 Joint indication of time and frequency resources </w:t>
            </w:r>
          </w:p>
          <w:p w:rsidR="00092374" w:rsidRDefault="00D11D25">
            <w:pPr>
              <w:pStyle w:val="ae"/>
              <w:numPr>
                <w:ilvl w:val="2"/>
                <w:numId w:val="9"/>
              </w:numPr>
              <w:spacing w:after="120"/>
              <w:rPr>
                <w:rFonts w:eastAsia="Calibri" w:cs="Times"/>
                <w:bCs/>
                <w:sz w:val="20"/>
                <w:szCs w:val="20"/>
              </w:rPr>
            </w:pPr>
            <w:r>
              <w:rPr>
                <w:rFonts w:eastAsia="Calibri" w:cs="Times"/>
                <w:bCs/>
                <w:sz w:val="20"/>
                <w:szCs w:val="20"/>
              </w:rPr>
              <w:t>FFS: backwards compatibility with Rel-16</w:t>
            </w:r>
          </w:p>
          <w:p w:rsidR="00092374" w:rsidRDefault="00D11D25">
            <w:pPr>
              <w:numPr>
                <w:ilvl w:val="0"/>
                <w:numId w:val="8"/>
              </w:numPr>
              <w:spacing w:before="120" w:after="120"/>
              <w:rPr>
                <w:rFonts w:cs="Times"/>
                <w:sz w:val="20"/>
              </w:rPr>
            </w:pPr>
            <w:r>
              <w:rPr>
                <w:rFonts w:cs="Times"/>
                <w:sz w:val="20"/>
              </w:rPr>
              <w:t>FFS: Extension of FDM across carriers</w:t>
            </w:r>
          </w:p>
          <w:p w:rsidR="00092374" w:rsidRDefault="00D11D25">
            <w:pPr>
              <w:numPr>
                <w:ilvl w:val="0"/>
                <w:numId w:val="8"/>
              </w:numPr>
              <w:spacing w:before="120" w:after="120"/>
              <w:rPr>
                <w:rFonts w:cs="Times"/>
                <w:sz w:val="20"/>
              </w:rPr>
            </w:pPr>
            <w:r>
              <w:rPr>
                <w:rFonts w:cs="Times"/>
                <w:sz w:val="20"/>
              </w:rPr>
              <w:t xml:space="preserve">FFS: Restrictions on band/minimum bandwidth for FDM operation (e.g. FR2 100MHz+ </w:t>
            </w:r>
            <w:r>
              <w:rPr>
                <w:rFonts w:cs="Times"/>
                <w:sz w:val="20"/>
              </w:rPr>
              <w:t>etc.)</w:t>
            </w:r>
          </w:p>
          <w:p w:rsidR="00092374" w:rsidRDefault="00092374">
            <w:pPr>
              <w:spacing w:before="120" w:after="120"/>
              <w:rPr>
                <w:sz w:val="20"/>
              </w:rPr>
            </w:pPr>
          </w:p>
        </w:tc>
      </w:tr>
    </w:tbl>
    <w:p w:rsidR="00092374" w:rsidRDefault="00092374">
      <w:pPr>
        <w:spacing w:beforeLines="0" w:afterLines="0" w:line="259" w:lineRule="auto"/>
        <w:rPr>
          <w:sz w:val="20"/>
        </w:rPr>
      </w:pPr>
    </w:p>
    <w:p w:rsidR="00092374" w:rsidRDefault="00D11D25">
      <w:pPr>
        <w:pStyle w:val="3"/>
        <w:spacing w:after="120"/>
        <w:ind w:right="210"/>
      </w:pPr>
      <w:r>
        <w:t>Semi-static resource configuration</w:t>
      </w:r>
    </w:p>
    <w:p w:rsidR="00092374" w:rsidRDefault="00D11D25">
      <w:pPr>
        <w:spacing w:beforeLines="0" w:afterLines="0" w:line="259" w:lineRule="auto"/>
        <w:rPr>
          <w:sz w:val="20"/>
        </w:rPr>
      </w:pPr>
      <w:r>
        <w:rPr>
          <w:sz w:val="20"/>
        </w:rPr>
        <w:t>In Rel-16, IAB specifications mainly focus on TDM between parent link and child link with consideration for forward compatibility for potential support of FDM/SDM. Due to the network-wide implications of half dup</w:t>
      </w:r>
      <w:r>
        <w:rPr>
          <w:sz w:val="20"/>
        </w:rPr>
        <w:t xml:space="preserve">lexing constraint, IAB-DU resource can be configured semi-statically as D/F/U and H/S/NA by CU in the time domain, availability of the </w:t>
      </w:r>
      <w:r>
        <w:rPr>
          <w:sz w:val="20"/>
        </w:rPr>
        <w:lastRenderedPageBreak/>
        <w:t xml:space="preserve">soft resources configured by CU can be further indicated by the parent node through DCI format 2_5. Meanwhile, it is not </w:t>
      </w:r>
      <w:r>
        <w:rPr>
          <w:sz w:val="20"/>
        </w:rPr>
        <w:t>considered in Rel-16 whether and how to divide frequency-domain resources between parent link and child link.</w:t>
      </w:r>
    </w:p>
    <w:p w:rsidR="00092374" w:rsidRDefault="00D11D25">
      <w:pPr>
        <w:spacing w:beforeLines="0" w:afterLines="0" w:line="259" w:lineRule="auto"/>
        <w:rPr>
          <w:sz w:val="20"/>
        </w:rPr>
      </w:pPr>
      <w:r>
        <w:rPr>
          <w:sz w:val="20"/>
        </w:rPr>
        <w:t xml:space="preserve">In Rel-17 IAB WID [2], one of new functionalities is the duplexing enhancements on simultaneous transmissions and/or reception on parent link and </w:t>
      </w:r>
      <w:r>
        <w:rPr>
          <w:sz w:val="20"/>
        </w:rPr>
        <w:t xml:space="preserve">child link, i.e., parent link and child link are multiplexed in FDM/SDM manner. </w:t>
      </w:r>
      <w:r>
        <w:rPr>
          <w:rFonts w:hint="eastAsia"/>
          <w:sz w:val="20"/>
        </w:rPr>
        <w:t>FDM across different carrier had been supported in Rel-16, e.g. MT CC and DU cell are in different bands/carriers. However, whether or how to support FDM within a carrier needs</w:t>
      </w:r>
      <w:r>
        <w:rPr>
          <w:rFonts w:hint="eastAsia"/>
          <w:sz w:val="20"/>
        </w:rPr>
        <w:t xml:space="preserve"> to further study. In our view, FDM within a carrier is benefit, the reasons are as follows:</w:t>
      </w:r>
    </w:p>
    <w:p w:rsidR="00092374" w:rsidRDefault="00D11D25">
      <w:pPr>
        <w:spacing w:beforeLines="0" w:afterLines="0" w:line="259" w:lineRule="auto"/>
        <w:rPr>
          <w:sz w:val="20"/>
        </w:rPr>
      </w:pPr>
      <w:r>
        <w:rPr>
          <w:rFonts w:hint="eastAsia"/>
          <w:sz w:val="20"/>
        </w:rPr>
        <w:t>1) FDM within a carrier can provides advantage of latency.</w:t>
      </w:r>
    </w:p>
    <w:p w:rsidR="00092374" w:rsidRDefault="00D11D25">
      <w:pPr>
        <w:spacing w:beforeLines="0" w:afterLines="0" w:line="259" w:lineRule="auto"/>
        <w:rPr>
          <w:sz w:val="20"/>
        </w:rPr>
      </w:pPr>
      <w:r>
        <w:rPr>
          <w:rFonts w:hint="eastAsia"/>
          <w:sz w:val="20"/>
        </w:rPr>
        <w:t>2) F</w:t>
      </w:r>
      <w:r>
        <w:rPr>
          <w:sz w:val="20"/>
        </w:rPr>
        <w:t xml:space="preserve">or an IAB node with insufficient </w:t>
      </w:r>
      <w:r>
        <w:rPr>
          <w:rFonts w:hint="eastAsia"/>
          <w:sz w:val="20"/>
        </w:rPr>
        <w:t xml:space="preserve">spatial </w:t>
      </w:r>
      <w:r>
        <w:rPr>
          <w:sz w:val="20"/>
        </w:rPr>
        <w:t xml:space="preserve">isolation between MT and DU, to support simultaneous </w:t>
      </w:r>
      <w:r>
        <w:rPr>
          <w:sz w:val="20"/>
        </w:rPr>
        <w:t>operation of IAB node’s parent link and child link, FDM can be performed</w:t>
      </w:r>
      <w:r>
        <w:rPr>
          <w:rFonts w:hint="eastAsia"/>
          <w:sz w:val="20"/>
        </w:rPr>
        <w:t>.</w:t>
      </w:r>
    </w:p>
    <w:p w:rsidR="00092374" w:rsidRDefault="00D11D25">
      <w:pPr>
        <w:spacing w:beforeLines="0" w:afterLines="0" w:line="259" w:lineRule="auto"/>
        <w:rPr>
          <w:sz w:val="20"/>
        </w:rPr>
      </w:pPr>
      <w:r>
        <w:rPr>
          <w:sz w:val="20"/>
        </w:rPr>
        <w:t>For an IAB node,</w:t>
      </w:r>
      <w:r>
        <w:rPr>
          <w:rFonts w:hint="eastAsia"/>
          <w:sz w:val="20"/>
        </w:rPr>
        <w:t xml:space="preserve"> in order to perform FDM within a carrier,</w:t>
      </w:r>
      <w:r>
        <w:rPr>
          <w:sz w:val="20"/>
        </w:rPr>
        <w:t xml:space="preserve"> it is necessary to ensure that the parent link resources scheduled by parent DU and child link resources scheduled by IAB-D</w:t>
      </w:r>
      <w:r>
        <w:rPr>
          <w:sz w:val="20"/>
        </w:rPr>
        <w:t>U are (quasi-)orthogonal in frequency domain</w:t>
      </w:r>
      <w:r>
        <w:rPr>
          <w:rFonts w:hint="eastAsia"/>
          <w:sz w:val="20"/>
        </w:rPr>
        <w:t xml:space="preserve"> </w:t>
      </w:r>
      <w:r>
        <w:rPr>
          <w:sz w:val="20"/>
        </w:rPr>
        <w:t>in order to avoid mutual interference.</w:t>
      </w:r>
      <w:r>
        <w:rPr>
          <w:rFonts w:hint="eastAsia"/>
          <w:sz w:val="20"/>
        </w:rPr>
        <w:t xml:space="preserve"> </w:t>
      </w:r>
      <w:r>
        <w:rPr>
          <w:sz w:val="20"/>
        </w:rPr>
        <w:t>The semi-static frequency resource partitioning can be implemented by a centralized approach similar as H/S/NA configuration by CU in the time domain.</w:t>
      </w:r>
    </w:p>
    <w:p w:rsidR="00092374" w:rsidRDefault="00D11D25">
      <w:pPr>
        <w:pStyle w:val="YJ-Proposal"/>
        <w:spacing w:before="120" w:after="120"/>
        <w:rPr>
          <w:lang w:val="en-US" w:eastAsia="zh-CN"/>
        </w:rPr>
      </w:pPr>
      <w:bookmarkStart w:id="0" w:name="_Toc2238"/>
      <w:bookmarkStart w:id="1" w:name="_Toc9005"/>
      <w:bookmarkStart w:id="2" w:name="_Toc384"/>
      <w:bookmarkStart w:id="3" w:name="_Toc68678816"/>
      <w:r>
        <w:t>At least to support F</w:t>
      </w:r>
      <w:r>
        <w:t>DM</w:t>
      </w:r>
      <w:r>
        <w:rPr>
          <w:rFonts w:hint="eastAsia"/>
          <w:lang w:val="en-US" w:eastAsia="zh-CN"/>
        </w:rPr>
        <w:t xml:space="preserve"> within a carrier in FR2</w:t>
      </w:r>
      <w:r>
        <w:t xml:space="preserve">, </w:t>
      </w:r>
      <w:r>
        <w:rPr>
          <w:rFonts w:eastAsia="Calibri" w:cs="Times"/>
        </w:rPr>
        <w:t>the extension of the semi-static DU resource type indication to frequency-domain resources</w:t>
      </w:r>
      <w:r>
        <w:rPr>
          <w:rFonts w:hint="eastAsia"/>
          <w:lang w:val="en-US" w:eastAsia="zh-CN"/>
        </w:rPr>
        <w:t xml:space="preserve"> is supported.</w:t>
      </w:r>
      <w:bookmarkEnd w:id="0"/>
      <w:bookmarkEnd w:id="1"/>
      <w:bookmarkEnd w:id="2"/>
      <w:bookmarkEnd w:id="3"/>
    </w:p>
    <w:p w:rsidR="00092374" w:rsidRDefault="00D11D25">
      <w:pPr>
        <w:spacing w:beforeLines="0" w:afterLines="0" w:line="259" w:lineRule="auto"/>
        <w:rPr>
          <w:sz w:val="20"/>
        </w:rPr>
      </w:pPr>
      <w:r>
        <w:rPr>
          <w:rFonts w:hint="eastAsia"/>
          <w:sz w:val="20"/>
        </w:rPr>
        <w:t xml:space="preserve">For the </w:t>
      </w:r>
      <w:r>
        <w:rPr>
          <w:rFonts w:cs="Times"/>
          <w:sz w:val="20"/>
        </w:rPr>
        <w:t>time-granularity of switching between multiplexing options to ensure backwards compatibility with Rel-16 IAB nodes</w:t>
      </w:r>
      <w:r>
        <w:rPr>
          <w:rFonts w:hint="eastAsia"/>
          <w:sz w:val="20"/>
        </w:rPr>
        <w:t>,</w:t>
      </w:r>
      <w:r>
        <w:rPr>
          <w:rFonts w:hint="eastAsia"/>
          <w:sz w:val="20"/>
        </w:rPr>
        <w:t xml:space="preserve"> the time-granularity of DU configuration in Rel-16 can be a starting point, i.e. an IAB-DU cell resources can be configured per resource type per slot in time domain. In order to avoid frequently </w:t>
      </w:r>
      <w:r>
        <w:rPr>
          <w:rFonts w:cs="Times"/>
          <w:sz w:val="20"/>
        </w:rPr>
        <w:t>multiplexing options</w:t>
      </w:r>
      <w:r>
        <w:rPr>
          <w:rFonts w:hint="eastAsia"/>
          <w:sz w:val="20"/>
        </w:rPr>
        <w:t xml:space="preserve"> switching between TDM and FDM, time gr</w:t>
      </w:r>
      <w:r>
        <w:rPr>
          <w:rFonts w:hint="eastAsia"/>
          <w:sz w:val="20"/>
        </w:rPr>
        <w:t>anularity can also be a slot, i.e., an IAB-DU cell resources can be configured per slot in time domain. And For the g</w:t>
      </w:r>
      <w:r>
        <w:rPr>
          <w:rFonts w:cs="Times"/>
          <w:sz w:val="20"/>
        </w:rPr>
        <w:t xml:space="preserve">ranularity </w:t>
      </w:r>
      <w:r>
        <w:rPr>
          <w:rFonts w:cs="Times" w:hint="eastAsia"/>
          <w:sz w:val="20"/>
        </w:rPr>
        <w:t>of</w:t>
      </w:r>
      <w:r>
        <w:rPr>
          <w:rFonts w:cs="Times"/>
          <w:sz w:val="20"/>
        </w:rPr>
        <w:t xml:space="preserve"> frequency domain resources </w:t>
      </w:r>
      <w:r>
        <w:rPr>
          <w:rFonts w:cs="Times" w:hint="eastAsia"/>
          <w:sz w:val="20"/>
        </w:rPr>
        <w:t xml:space="preserve">indication </w:t>
      </w:r>
      <w:r>
        <w:rPr>
          <w:rFonts w:cs="Times"/>
          <w:sz w:val="20"/>
        </w:rPr>
        <w:t>within a carrier</w:t>
      </w:r>
      <w:r>
        <w:rPr>
          <w:rFonts w:cs="Times" w:hint="eastAsia"/>
          <w:sz w:val="20"/>
        </w:rPr>
        <w:t>,</w:t>
      </w:r>
      <w:r>
        <w:rPr>
          <w:rFonts w:cs="Times"/>
          <w:sz w:val="20"/>
        </w:rPr>
        <w:t xml:space="preserve"> </w:t>
      </w:r>
      <w:r>
        <w:rPr>
          <w:rFonts w:hint="eastAsia"/>
          <w:sz w:val="20"/>
        </w:rPr>
        <w:t>as discussed during previous meeting, a set of N RBs could be a start</w:t>
      </w:r>
      <w:r>
        <w:rPr>
          <w:rFonts w:hint="eastAsia"/>
          <w:sz w:val="20"/>
        </w:rPr>
        <w:t xml:space="preserve">ing point. </w:t>
      </w:r>
    </w:p>
    <w:p w:rsidR="00092374" w:rsidRDefault="00D11D25">
      <w:pPr>
        <w:spacing w:beforeLines="0" w:afterLines="0" w:line="259" w:lineRule="auto"/>
        <w:rPr>
          <w:sz w:val="20"/>
        </w:rPr>
      </w:pPr>
      <w:r>
        <w:rPr>
          <w:sz w:val="20"/>
        </w:rPr>
        <w:t>Similar to time domain resource configuration, one resource unit (e.g. RB</w:t>
      </w:r>
      <w:r>
        <w:rPr>
          <w:rFonts w:hint="eastAsia"/>
          <w:sz w:val="20"/>
        </w:rPr>
        <w:t xml:space="preserve"> set</w:t>
      </w:r>
      <w:r>
        <w:rPr>
          <w:sz w:val="20"/>
        </w:rPr>
        <w:t xml:space="preserve">) in frequency domain can be configured as Hard or NA. </w:t>
      </w:r>
      <w:r>
        <w:rPr>
          <w:rFonts w:hint="eastAsia"/>
          <w:sz w:val="20"/>
        </w:rPr>
        <w:t>Herein</w:t>
      </w:r>
      <w:r>
        <w:rPr>
          <w:sz w:val="20"/>
        </w:rPr>
        <w:t xml:space="preserve"> Hard means that the corresponding frequency resource is available for the IAB-DU, and NA means opposite, </w:t>
      </w:r>
      <w:r>
        <w:rPr>
          <w:sz w:val="20"/>
        </w:rPr>
        <w:t xml:space="preserve">i.e. the corresponding frequency resource is not available for the IAB-DU. </w:t>
      </w:r>
    </w:p>
    <w:p w:rsidR="00092374" w:rsidRDefault="00D11D25">
      <w:pPr>
        <w:spacing w:beforeLines="0" w:afterLines="0" w:line="259" w:lineRule="auto"/>
        <w:rPr>
          <w:sz w:val="20"/>
        </w:rPr>
      </w:pPr>
      <w:r>
        <w:rPr>
          <w:rFonts w:hint="eastAsia"/>
          <w:sz w:val="20"/>
        </w:rPr>
        <w:t>The motivation of introducing soft resource configuration is to support dynamic resource sharing between parent link and child link, but form our point of view, this has been suppo</w:t>
      </w:r>
      <w:r>
        <w:rPr>
          <w:rFonts w:hint="eastAsia"/>
          <w:sz w:val="20"/>
        </w:rPr>
        <w:t>rted via current Rel-16 soft resource configuration. In Rel-16</w:t>
      </w:r>
      <w:r>
        <w:rPr>
          <w:sz w:val="20"/>
        </w:rPr>
        <w:t>, soft resources in time domain could be configured to realize the flexible resource sharing between parent link and child link</w:t>
      </w:r>
      <w:r>
        <w:rPr>
          <w:rFonts w:hint="eastAsia"/>
          <w:sz w:val="20"/>
        </w:rPr>
        <w:t xml:space="preserve"> both in time domain and frequency domain.</w:t>
      </w:r>
      <w:r>
        <w:rPr>
          <w:sz w:val="20"/>
        </w:rPr>
        <w:t xml:space="preserve"> </w:t>
      </w:r>
      <w:r>
        <w:rPr>
          <w:rFonts w:hint="eastAsia"/>
          <w:sz w:val="20"/>
        </w:rPr>
        <w:t>For example, the implici</w:t>
      </w:r>
      <w:r>
        <w:rPr>
          <w:rFonts w:hint="eastAsia"/>
          <w:sz w:val="20"/>
        </w:rPr>
        <w:t xml:space="preserve">t availability indication of soft symbols already supports dynamic FDM as described in </w:t>
      </w:r>
      <w:r>
        <w:rPr>
          <w:sz w:val="20"/>
        </w:rPr>
        <w:t>current TS38.21</w:t>
      </w:r>
      <w:r>
        <w:rPr>
          <w:rFonts w:hint="eastAsia"/>
          <w:sz w:val="20"/>
        </w:rPr>
        <w:t>3</w:t>
      </w:r>
      <w:r>
        <w:rPr>
          <w:sz w:val="20"/>
        </w:rPr>
        <w:t xml:space="preserve"> </w:t>
      </w:r>
      <w:r>
        <w:rPr>
          <w:rFonts w:hint="eastAsia"/>
          <w:sz w:val="20"/>
        </w:rPr>
        <w:t>below:</w:t>
      </w:r>
    </w:p>
    <w:tbl>
      <w:tblPr>
        <w:tblStyle w:val="aa"/>
        <w:tblW w:w="0" w:type="auto"/>
        <w:tblLook w:val="04A0" w:firstRow="1" w:lastRow="0" w:firstColumn="1" w:lastColumn="0" w:noHBand="0" w:noVBand="1"/>
      </w:tblPr>
      <w:tblGrid>
        <w:gridCol w:w="9876"/>
      </w:tblGrid>
      <w:tr w:rsidR="00092374">
        <w:tc>
          <w:tcPr>
            <w:tcW w:w="9876" w:type="dxa"/>
          </w:tcPr>
          <w:p w:rsidR="00092374" w:rsidRDefault="00D11D25">
            <w:pPr>
              <w:spacing w:before="120" w:after="120"/>
              <w:rPr>
                <w:iCs/>
                <w:sz w:val="20"/>
              </w:rPr>
            </w:pPr>
            <w:r>
              <w:rPr>
                <w:sz w:val="20"/>
              </w:rPr>
              <w:t>When a downlink, uplink, or flexible symbol is configured as soft, the IAB-DU can respectively transmit, receive or either transmit or receive in</w:t>
            </w:r>
            <w:r>
              <w:rPr>
                <w:sz w:val="20"/>
              </w:rPr>
              <w:t xml:space="preserve"> the symbol only if</w:t>
            </w:r>
          </w:p>
          <w:p w:rsidR="00092374" w:rsidRDefault="00D11D25">
            <w:pPr>
              <w:pStyle w:val="B1"/>
              <w:spacing w:before="120" w:after="120"/>
              <w:rPr>
                <w:sz w:val="20"/>
                <w:lang w:val="en-US"/>
              </w:rPr>
            </w:pPr>
            <w:r>
              <w:rPr>
                <w:sz w:val="20"/>
                <w:lang w:val="en-US"/>
              </w:rPr>
              <w:t>-</w:t>
            </w:r>
            <w:r>
              <w:rPr>
                <w:sz w:val="20"/>
                <w:lang w:val="en-US"/>
              </w:rPr>
              <w:tab/>
              <w:t>the IAB-MT does not transmit or receive in the symbol, or</w:t>
            </w:r>
          </w:p>
          <w:p w:rsidR="00092374" w:rsidRDefault="00D11D25">
            <w:pPr>
              <w:pStyle w:val="B1"/>
              <w:spacing w:before="120" w:after="120"/>
              <w:rPr>
                <w:sz w:val="20"/>
                <w:lang w:val="en-US"/>
              </w:rPr>
            </w:pPr>
            <w:r>
              <w:rPr>
                <w:sz w:val="20"/>
                <w:lang w:val="en-US"/>
              </w:rPr>
              <w:t>-</w:t>
            </w:r>
            <w:r>
              <w:rPr>
                <w:sz w:val="20"/>
                <w:lang w:val="en-US"/>
              </w:rPr>
              <w:tab/>
            </w:r>
            <w:r>
              <w:rPr>
                <w:sz w:val="20"/>
                <w:highlight w:val="yellow"/>
                <w:lang w:val="en-US"/>
              </w:rPr>
              <w:t>the IAB-MT would transmit or receive in the symbol, and the transmission or reception in the symbol is not changed due to a use of the symbol by the IAB-DU, or</w:t>
            </w:r>
          </w:p>
          <w:p w:rsidR="00092374" w:rsidRDefault="00D11D25">
            <w:pPr>
              <w:pStyle w:val="B1"/>
              <w:spacing w:before="120" w:after="120"/>
              <w:rPr>
                <w:sz w:val="20"/>
                <w:lang w:val="en-US"/>
              </w:rPr>
            </w:pPr>
            <w:r>
              <w:rPr>
                <w:sz w:val="20"/>
                <w:lang w:val="en-US"/>
              </w:rPr>
              <w:t>-</w:t>
            </w:r>
            <w:r>
              <w:rPr>
                <w:sz w:val="20"/>
                <w:lang w:val="en-US"/>
              </w:rPr>
              <w:tab/>
              <w:t>the IAB-MT d</w:t>
            </w:r>
            <w:r>
              <w:rPr>
                <w:sz w:val="20"/>
                <w:lang w:val="en-US"/>
              </w:rPr>
              <w:t>etects a DCI format 2_5 with an AI index field value indicating the soft symbol as available</w:t>
            </w:r>
          </w:p>
          <w:p w:rsidR="00092374" w:rsidRDefault="00092374">
            <w:pPr>
              <w:spacing w:beforeLines="0" w:afterLines="0" w:line="259" w:lineRule="auto"/>
              <w:rPr>
                <w:szCs w:val="22"/>
              </w:rPr>
            </w:pPr>
          </w:p>
        </w:tc>
      </w:tr>
    </w:tbl>
    <w:p w:rsidR="00092374" w:rsidRDefault="00092374">
      <w:pPr>
        <w:spacing w:beforeLines="0" w:afterLines="0" w:line="259" w:lineRule="auto"/>
        <w:rPr>
          <w:sz w:val="20"/>
        </w:rPr>
      </w:pPr>
    </w:p>
    <w:p w:rsidR="00092374" w:rsidRDefault="00D11D25">
      <w:pPr>
        <w:spacing w:beforeLines="0" w:afterLines="0" w:line="259" w:lineRule="auto"/>
        <w:rPr>
          <w:sz w:val="20"/>
        </w:rPr>
      </w:pPr>
      <w:r>
        <w:rPr>
          <w:rFonts w:hint="eastAsia"/>
          <w:sz w:val="20"/>
        </w:rPr>
        <w:t>H</w:t>
      </w:r>
      <w:r>
        <w:rPr>
          <w:sz w:val="20"/>
        </w:rPr>
        <w:t>owever, the benefit of supporting</w:t>
      </w:r>
      <w:r>
        <w:rPr>
          <w:rFonts w:hint="eastAsia"/>
          <w:sz w:val="20"/>
        </w:rPr>
        <w:t xml:space="preserve"> semi-static</w:t>
      </w:r>
      <w:r>
        <w:rPr>
          <w:sz w:val="20"/>
        </w:rPr>
        <w:t xml:space="preserve"> soft resource configuration in frequency domain</w:t>
      </w:r>
      <w:r>
        <w:rPr>
          <w:rFonts w:hint="eastAsia"/>
          <w:sz w:val="20"/>
        </w:rPr>
        <w:t xml:space="preserve"> in addition to semi-static soft resource in time domain</w:t>
      </w:r>
      <w:r>
        <w:rPr>
          <w:sz w:val="20"/>
        </w:rPr>
        <w:t xml:space="preserve"> has not been justified, and</w:t>
      </w:r>
      <w:r>
        <w:rPr>
          <w:rFonts w:hint="eastAsia"/>
          <w:sz w:val="20"/>
        </w:rPr>
        <w:t xml:space="preserve"> it's foreseeable that</w:t>
      </w:r>
      <w:r>
        <w:rPr>
          <w:sz w:val="20"/>
        </w:rPr>
        <w:t xml:space="preserve"> support of indication of the dynamic availability of soft resources in frequency domain could </w:t>
      </w:r>
      <w:r>
        <w:rPr>
          <w:rFonts w:hint="eastAsia"/>
          <w:sz w:val="20"/>
        </w:rPr>
        <w:t>incur</w:t>
      </w:r>
      <w:r>
        <w:rPr>
          <w:sz w:val="20"/>
        </w:rPr>
        <w:t xml:space="preserve"> a lot of normative works.</w:t>
      </w:r>
    </w:p>
    <w:p w:rsidR="00092374" w:rsidRDefault="00D11D25">
      <w:pPr>
        <w:pStyle w:val="YJ-Proposal"/>
        <w:spacing w:before="120" w:after="120"/>
        <w:rPr>
          <w:lang w:val="en-US" w:eastAsia="zh-CN"/>
        </w:rPr>
      </w:pPr>
      <w:bookmarkStart w:id="4" w:name="_Toc10116"/>
      <w:bookmarkStart w:id="5" w:name="_Toc258"/>
      <w:bookmarkStart w:id="6" w:name="_Toc13621"/>
      <w:bookmarkStart w:id="7" w:name="_Toc68678817"/>
      <w:r>
        <w:t>For resource configuration in frequency domain for DU, the following types of f</w:t>
      </w:r>
      <w:r>
        <w:t>requency resources could be configured for</w:t>
      </w:r>
      <w:r>
        <w:rPr>
          <w:rFonts w:hint="eastAsia"/>
          <w:lang w:val="en-US" w:eastAsia="zh-CN"/>
        </w:rPr>
        <w:t xml:space="preserve"> a set of N RBs</w:t>
      </w:r>
      <w:r>
        <w:t xml:space="preserve"> </w:t>
      </w:r>
      <w:r>
        <w:rPr>
          <w:rFonts w:hint="eastAsia"/>
          <w:lang w:val="en-US" w:eastAsia="zh-CN"/>
        </w:rPr>
        <w:t>of a</w:t>
      </w:r>
      <w:r>
        <w:t xml:space="preserve"> IAB-DU cell</w:t>
      </w:r>
      <w:r>
        <w:rPr>
          <w:rFonts w:hint="eastAsia"/>
          <w:lang w:val="en-US" w:eastAsia="zh-CN"/>
        </w:rPr>
        <w:t>:</w:t>
      </w:r>
      <w:bookmarkEnd w:id="4"/>
      <w:bookmarkEnd w:id="5"/>
      <w:bookmarkEnd w:id="6"/>
      <w:bookmarkEnd w:id="7"/>
      <w:r>
        <w:rPr>
          <w:rFonts w:hint="eastAsia"/>
          <w:lang w:val="en-US" w:eastAsia="zh-CN"/>
        </w:rPr>
        <w:t xml:space="preserve"> </w:t>
      </w:r>
    </w:p>
    <w:p w:rsidR="00092374" w:rsidRDefault="00D11D25">
      <w:pPr>
        <w:pStyle w:val="sub-proposal"/>
        <w:spacing w:before="120" w:after="120"/>
        <w:ind w:left="822" w:hanging="402"/>
        <w:rPr>
          <w:lang w:val="en-US" w:eastAsia="zh-CN"/>
        </w:rPr>
      </w:pPr>
      <w:bookmarkStart w:id="8" w:name="_Toc4810"/>
      <w:bookmarkStart w:id="9" w:name="_Toc12641"/>
      <w:bookmarkStart w:id="10" w:name="_Toc4136"/>
      <w:bookmarkStart w:id="11" w:name="_Toc68678818"/>
      <w:r>
        <w:t>Hard: The corresponding frequency resource is available for the IAB-DU</w:t>
      </w:r>
      <w:bookmarkEnd w:id="8"/>
      <w:bookmarkEnd w:id="9"/>
      <w:bookmarkEnd w:id="10"/>
      <w:bookmarkEnd w:id="11"/>
    </w:p>
    <w:p w:rsidR="00092374" w:rsidRDefault="00D11D25">
      <w:pPr>
        <w:pStyle w:val="sub-proposal"/>
        <w:spacing w:before="120" w:after="120"/>
        <w:ind w:left="822" w:hanging="402"/>
        <w:rPr>
          <w:lang w:val="en-US" w:eastAsia="zh-CN"/>
        </w:rPr>
      </w:pPr>
      <w:bookmarkStart w:id="12" w:name="_Toc5756"/>
      <w:bookmarkStart w:id="13" w:name="_Toc13798"/>
      <w:bookmarkStart w:id="14" w:name="_Toc17052"/>
      <w:bookmarkStart w:id="15" w:name="_Toc68678819"/>
      <w:r>
        <w:t>NA: The corresponding frequency resource is not available for the IAB-DU</w:t>
      </w:r>
      <w:bookmarkEnd w:id="12"/>
      <w:bookmarkEnd w:id="13"/>
      <w:bookmarkEnd w:id="14"/>
      <w:bookmarkEnd w:id="15"/>
    </w:p>
    <w:p w:rsidR="00092374" w:rsidRDefault="00092374">
      <w:pPr>
        <w:spacing w:before="120" w:after="120"/>
        <w:rPr>
          <w:rFonts w:ascii="Arial" w:hAnsi="Arial" w:cs="Arial"/>
        </w:rPr>
      </w:pPr>
    </w:p>
    <w:p w:rsidR="00092374" w:rsidRDefault="00D11D25">
      <w:pPr>
        <w:pStyle w:val="3"/>
        <w:spacing w:after="120"/>
        <w:ind w:right="210"/>
      </w:pPr>
      <w:r>
        <w:t>Dynamic availability indication</w:t>
      </w:r>
    </w:p>
    <w:p w:rsidR="00092374" w:rsidRDefault="00D11D25">
      <w:pPr>
        <w:spacing w:beforeLines="0" w:afterLines="0" w:line="259" w:lineRule="auto"/>
        <w:rPr>
          <w:sz w:val="20"/>
        </w:rPr>
      </w:pPr>
      <w:r>
        <w:rPr>
          <w:sz w:val="20"/>
        </w:rPr>
        <w:t>The main purpose of introducing H/S/NA resources configuration to DU in time domain is to provide higher flexibility in resource utilization between IAB node MT and DU. Soft resources in time domain could be configured to realize the flexible resource shar</w:t>
      </w:r>
      <w:r>
        <w:rPr>
          <w:sz w:val="20"/>
        </w:rPr>
        <w:t>ing between parent link and child link. However, whether to support</w:t>
      </w:r>
      <w:r>
        <w:rPr>
          <w:rFonts w:hint="eastAsia"/>
          <w:sz w:val="20"/>
        </w:rPr>
        <w:t xml:space="preserve"> </w:t>
      </w:r>
      <w:r>
        <w:rPr>
          <w:sz w:val="20"/>
        </w:rPr>
        <w:t>soft resource configuration in frequency domain has not been decided, and the benefit of supporting the dynamic availability</w:t>
      </w:r>
      <w:r>
        <w:rPr>
          <w:rFonts w:hint="eastAsia"/>
          <w:sz w:val="20"/>
        </w:rPr>
        <w:t xml:space="preserve"> </w:t>
      </w:r>
      <w:r>
        <w:rPr>
          <w:sz w:val="20"/>
        </w:rPr>
        <w:t>indication of soft resources in frequency domain had not been j</w:t>
      </w:r>
      <w:r>
        <w:rPr>
          <w:sz w:val="20"/>
        </w:rPr>
        <w:t xml:space="preserve">ustified but </w:t>
      </w:r>
      <w:r>
        <w:rPr>
          <w:rFonts w:hint="eastAsia"/>
          <w:sz w:val="20"/>
        </w:rPr>
        <w:t>it is foreseeable that its support will incur</w:t>
      </w:r>
      <w:r>
        <w:rPr>
          <w:sz w:val="20"/>
        </w:rPr>
        <w:t xml:space="preserve"> a lot of normative work. For instance, if only Hard and NA resources configuration is introduced, availability of resources in frequency domain is clear, i.e., hard</w:t>
      </w:r>
      <w:r>
        <w:rPr>
          <w:rFonts w:hint="eastAsia"/>
          <w:sz w:val="20"/>
        </w:rPr>
        <w:t xml:space="preserve"> resources are available and</w:t>
      </w:r>
      <w:r>
        <w:rPr>
          <w:sz w:val="20"/>
        </w:rPr>
        <w:t xml:space="preserve"> NA</w:t>
      </w:r>
      <w:r>
        <w:rPr>
          <w:rFonts w:hint="eastAsia"/>
          <w:sz w:val="20"/>
        </w:rPr>
        <w:t xml:space="preserve"> r</w:t>
      </w:r>
      <w:r>
        <w:rPr>
          <w:rFonts w:hint="eastAsia"/>
          <w:sz w:val="20"/>
        </w:rPr>
        <w:t>esources are not available</w:t>
      </w:r>
      <w:r>
        <w:rPr>
          <w:sz w:val="20"/>
        </w:rPr>
        <w:t>.</w:t>
      </w:r>
      <w:r>
        <w:rPr>
          <w:rFonts w:hint="eastAsia"/>
          <w:sz w:val="20"/>
        </w:rPr>
        <w:t xml:space="preserve"> </w:t>
      </w:r>
      <w:r>
        <w:rPr>
          <w:sz w:val="20"/>
        </w:rPr>
        <w:t xml:space="preserve">In a word, support of introducing soft resources in frequency domain will bring a lot of normative work, </w:t>
      </w:r>
      <w:r>
        <w:rPr>
          <w:rFonts w:hint="eastAsia"/>
          <w:sz w:val="20"/>
        </w:rPr>
        <w:t>while</w:t>
      </w:r>
      <w:r>
        <w:rPr>
          <w:sz w:val="20"/>
        </w:rPr>
        <w:t xml:space="preserve"> the benefit is not clear.</w:t>
      </w:r>
    </w:p>
    <w:p w:rsidR="00092374" w:rsidRDefault="00D11D25">
      <w:pPr>
        <w:pStyle w:val="YJ-Observation"/>
        <w:spacing w:before="120" w:after="120"/>
        <w:rPr>
          <w:lang w:val="en-US" w:eastAsia="zh-CN"/>
        </w:rPr>
      </w:pPr>
      <w:bookmarkStart w:id="16" w:name="_Toc15739"/>
      <w:bookmarkStart w:id="17" w:name="_Toc17296"/>
      <w:bookmarkStart w:id="18" w:name="_Toc68678012"/>
      <w:bookmarkStart w:id="19" w:name="_Toc22133"/>
      <w:r>
        <w:rPr>
          <w:rFonts w:hint="eastAsia"/>
          <w:lang w:eastAsia="zh-CN"/>
        </w:rPr>
        <w:t xml:space="preserve">It's foreseeable that </w:t>
      </w:r>
      <w:r>
        <w:rPr>
          <w:rFonts w:hint="eastAsia"/>
          <w:lang w:val="en-US" w:eastAsia="zh-CN"/>
        </w:rPr>
        <w:t>a</w:t>
      </w:r>
      <w:r>
        <w:t xml:space="preserve"> lot of normative works could </w:t>
      </w:r>
      <w:r>
        <w:rPr>
          <w:rFonts w:hint="eastAsia"/>
          <w:lang w:eastAsia="zh-CN"/>
        </w:rPr>
        <w:t>be incurred</w:t>
      </w:r>
      <w:r>
        <w:t xml:space="preserve"> if the indication of the d</w:t>
      </w:r>
      <w:r>
        <w:t xml:space="preserve">ynamic availability of soft resources in frequency domain </w:t>
      </w:r>
      <w:r>
        <w:rPr>
          <w:rFonts w:hint="eastAsia"/>
          <w:lang w:eastAsia="zh-CN"/>
        </w:rPr>
        <w:t>were</w:t>
      </w:r>
      <w:r>
        <w:t xml:space="preserve"> supported </w:t>
      </w:r>
      <w:r>
        <w:rPr>
          <w:rFonts w:hint="eastAsia"/>
          <w:lang w:eastAsia="zh-CN"/>
        </w:rPr>
        <w:t>yet</w:t>
      </w:r>
      <w:r>
        <w:t xml:space="preserve"> the benefit is not clear</w:t>
      </w:r>
      <w:r>
        <w:rPr>
          <w:rFonts w:hint="eastAsia"/>
          <w:lang w:val="en-US" w:eastAsia="zh-CN"/>
        </w:rPr>
        <w:t>.</w:t>
      </w:r>
      <w:bookmarkEnd w:id="16"/>
      <w:bookmarkEnd w:id="17"/>
      <w:bookmarkEnd w:id="18"/>
      <w:bookmarkEnd w:id="19"/>
      <w:r>
        <w:rPr>
          <w:rFonts w:hint="eastAsia"/>
          <w:lang w:val="en-US" w:eastAsia="zh-CN"/>
        </w:rPr>
        <w:t xml:space="preserve">  </w:t>
      </w:r>
    </w:p>
    <w:p w:rsidR="00092374" w:rsidRDefault="00D11D25">
      <w:pPr>
        <w:pStyle w:val="YJ-Proposal"/>
        <w:spacing w:before="120" w:after="120"/>
        <w:rPr>
          <w:lang w:val="en-US"/>
        </w:rPr>
      </w:pPr>
      <w:r>
        <w:t xml:space="preserve"> </w:t>
      </w:r>
      <w:bookmarkStart w:id="20" w:name="_Toc15874"/>
      <w:bookmarkStart w:id="21" w:name="_Toc23834"/>
      <w:bookmarkStart w:id="22" w:name="_Toc429"/>
      <w:bookmarkStart w:id="23" w:name="_Toc68678820"/>
      <w:r>
        <w:t>Enhancements for DCI format 2_5 to support dynamic indication of availability</w:t>
      </w:r>
      <w:r>
        <w:rPr>
          <w:rFonts w:hint="eastAsia"/>
          <w:lang w:val="en-US"/>
        </w:rPr>
        <w:t xml:space="preserve"> for soft frequency resources</w:t>
      </w:r>
      <w:r w:rsidR="001328F6">
        <w:rPr>
          <w:rFonts w:hint="eastAsia"/>
          <w:lang w:val="en-US"/>
        </w:rPr>
        <w:t xml:space="preserve"> </w:t>
      </w:r>
      <w:r w:rsidR="001328F6">
        <w:rPr>
          <w:rFonts w:hint="eastAsia"/>
          <w:lang w:val="en-US" w:eastAsia="zh-CN"/>
        </w:rPr>
        <w:t>are</w:t>
      </w:r>
      <w:r>
        <w:rPr>
          <w:rFonts w:hint="eastAsia"/>
          <w:lang w:val="en-US"/>
        </w:rPr>
        <w:t xml:space="preserve"> not supported.</w:t>
      </w:r>
      <w:bookmarkEnd w:id="20"/>
      <w:bookmarkEnd w:id="21"/>
      <w:bookmarkEnd w:id="22"/>
      <w:bookmarkEnd w:id="23"/>
    </w:p>
    <w:p w:rsidR="00092374" w:rsidRPr="001328F6" w:rsidRDefault="00092374">
      <w:pPr>
        <w:pStyle w:val="YJ-Proposal"/>
        <w:numPr>
          <w:ilvl w:val="0"/>
          <w:numId w:val="0"/>
        </w:numPr>
        <w:spacing w:before="120" w:after="120"/>
        <w:rPr>
          <w:lang w:val="en-US" w:eastAsia="zh-CN"/>
        </w:rPr>
      </w:pPr>
    </w:p>
    <w:p w:rsidR="00092374" w:rsidRDefault="00D11D25">
      <w:pPr>
        <w:pStyle w:val="2"/>
        <w:spacing w:before="120" w:after="120"/>
        <w:ind w:left="991" w:right="210" w:hangingChars="354" w:hanging="991"/>
        <w:rPr>
          <w:szCs w:val="22"/>
        </w:rPr>
      </w:pPr>
      <w:r>
        <w:rPr>
          <w:rFonts w:eastAsia="宋体" w:hint="eastAsia"/>
        </w:rPr>
        <w:t>Spatial domain</w:t>
      </w:r>
    </w:p>
    <w:p w:rsidR="00092374" w:rsidRDefault="00D11D25">
      <w:pPr>
        <w:spacing w:before="120" w:after="120"/>
        <w:rPr>
          <w:sz w:val="20"/>
        </w:rPr>
      </w:pPr>
      <w:r>
        <w:rPr>
          <w:sz w:val="20"/>
        </w:rPr>
        <w:t>The follo</w:t>
      </w:r>
      <w:r>
        <w:rPr>
          <w:sz w:val="20"/>
        </w:rPr>
        <w:t>wing agreements have been made in RAN1#10</w:t>
      </w:r>
      <w:r>
        <w:rPr>
          <w:rFonts w:hint="eastAsia"/>
          <w:sz w:val="20"/>
        </w:rPr>
        <w:t>4</w:t>
      </w:r>
      <w:r>
        <w:rPr>
          <w:sz w:val="20"/>
        </w:rPr>
        <w:t xml:space="preserve">e on </w:t>
      </w:r>
      <w:r>
        <w:rPr>
          <w:rFonts w:hint="eastAsia"/>
          <w:sz w:val="20"/>
        </w:rPr>
        <w:t>whether/how to manage resources in the spatial domain.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76"/>
      </w:tblGrid>
      <w:tr w:rsidR="00092374">
        <w:trPr>
          <w:trHeight w:val="1120"/>
        </w:trPr>
        <w:tc>
          <w:tcPr>
            <w:tcW w:w="9876" w:type="dxa"/>
          </w:tcPr>
          <w:p w:rsidR="00092374" w:rsidRDefault="00D11D25">
            <w:pPr>
              <w:spacing w:before="120" w:after="120"/>
              <w:rPr>
                <w:rStyle w:val="ab"/>
                <w:rFonts w:cs="Times"/>
                <w:color w:val="000000"/>
                <w:sz w:val="20"/>
              </w:rPr>
            </w:pPr>
            <w:r>
              <w:rPr>
                <w:rFonts w:cs="Times"/>
                <w:b/>
                <w:bCs/>
                <w:sz w:val="20"/>
                <w:highlight w:val="green"/>
              </w:rPr>
              <w:t>Agreement</w:t>
            </w:r>
          </w:p>
          <w:p w:rsidR="00092374" w:rsidRDefault="00D11D25">
            <w:pPr>
              <w:spacing w:before="120" w:after="120"/>
              <w:rPr>
                <w:rFonts w:cs="Times"/>
                <w:sz w:val="20"/>
              </w:rPr>
            </w:pPr>
            <w:r>
              <w:rPr>
                <w:rFonts w:cs="Times"/>
                <w:sz w:val="20"/>
              </w:rPr>
              <w:t>Further study whether/how to manage resources in the spatial domain. Candidate solutions are:</w:t>
            </w:r>
          </w:p>
          <w:p w:rsidR="00092374" w:rsidRDefault="00D11D25">
            <w:pPr>
              <w:numPr>
                <w:ilvl w:val="0"/>
                <w:numId w:val="8"/>
              </w:numPr>
              <w:spacing w:before="120" w:after="120"/>
              <w:rPr>
                <w:rFonts w:cs="Times"/>
                <w:sz w:val="20"/>
              </w:rPr>
            </w:pPr>
            <w:r>
              <w:rPr>
                <w:rFonts w:cs="Times"/>
                <w:sz w:val="20"/>
              </w:rPr>
              <w:t xml:space="preserve">Dynamic signaling between parent and child nodes </w:t>
            </w:r>
            <w:r>
              <w:rPr>
                <w:rFonts w:cs="Times"/>
                <w:sz w:val="20"/>
              </w:rPr>
              <w:t>for using/restricting/sharing antenna panels/beams</w:t>
            </w:r>
          </w:p>
          <w:p w:rsidR="00092374" w:rsidRDefault="00D11D25">
            <w:pPr>
              <w:numPr>
                <w:ilvl w:val="0"/>
                <w:numId w:val="8"/>
              </w:numPr>
              <w:spacing w:before="120" w:after="120"/>
              <w:rPr>
                <w:rFonts w:cs="Times"/>
                <w:sz w:val="20"/>
              </w:rPr>
            </w:pPr>
            <w:r>
              <w:rPr>
                <w:rFonts w:cs="Times"/>
                <w:sz w:val="20"/>
              </w:rPr>
              <w:t>Beam management / multi-panel enhancements for simultaneous operations</w:t>
            </w:r>
          </w:p>
          <w:p w:rsidR="00092374" w:rsidRDefault="00D11D25">
            <w:pPr>
              <w:numPr>
                <w:ilvl w:val="0"/>
                <w:numId w:val="8"/>
              </w:numPr>
              <w:spacing w:before="120" w:after="120"/>
              <w:rPr>
                <w:rFonts w:cs="Times"/>
                <w:sz w:val="20"/>
              </w:rPr>
            </w:pPr>
            <w:r>
              <w:rPr>
                <w:rFonts w:cs="Times"/>
                <w:sz w:val="20"/>
              </w:rPr>
              <w:t>Extension of H/S/NA resource indication to the spatial domain</w:t>
            </w:r>
          </w:p>
          <w:p w:rsidR="00092374" w:rsidRDefault="00D11D25">
            <w:pPr>
              <w:spacing w:before="120" w:after="120"/>
              <w:rPr>
                <w:rFonts w:cs="Times"/>
                <w:sz w:val="20"/>
              </w:rPr>
            </w:pPr>
            <w:r>
              <w:rPr>
                <w:rFonts w:cs="Times"/>
                <w:sz w:val="20"/>
              </w:rPr>
              <w:t>Other solutions are not precluded.</w:t>
            </w:r>
          </w:p>
          <w:p w:rsidR="00092374" w:rsidRDefault="00092374">
            <w:pPr>
              <w:widowControl w:val="0"/>
              <w:spacing w:before="120" w:after="120"/>
              <w:rPr>
                <w:sz w:val="20"/>
              </w:rPr>
            </w:pPr>
          </w:p>
        </w:tc>
      </w:tr>
    </w:tbl>
    <w:p w:rsidR="00092374" w:rsidRDefault="00D11D25">
      <w:pPr>
        <w:numPr>
          <w:ilvl w:val="255"/>
          <w:numId w:val="0"/>
        </w:numPr>
        <w:spacing w:before="120" w:after="120"/>
        <w:rPr>
          <w:sz w:val="20"/>
        </w:rPr>
      </w:pPr>
      <w:r>
        <w:rPr>
          <w:rFonts w:hint="eastAsia"/>
          <w:sz w:val="20"/>
        </w:rPr>
        <w:t>In Rel-16, an IAB node can report to CU the information about the multiplexing capabilities between the IAB-DU cell and the cells configured on the collocated IAB-MT, such as, an indication of whether the IAB-node supports simultaneous MT-Tx/DU-Tx, simulta</w:t>
      </w:r>
      <w:r>
        <w:rPr>
          <w:rFonts w:hint="eastAsia"/>
          <w:sz w:val="20"/>
        </w:rPr>
        <w:t xml:space="preserve">neous MT-Rx/DU-Rx, or simultaneous MT-Rx/DU-Tx, simultaneous MT-Tx/DU-Rx. Furthermore, the CU sends the multiplexing capability of the IAB node to its parent node, i.e. the parent node can be made aware of </w:t>
      </w:r>
      <w:r>
        <w:rPr>
          <w:sz w:val="20"/>
        </w:rPr>
        <w:t>t</w:t>
      </w:r>
      <w:r>
        <w:rPr>
          <w:rFonts w:hint="eastAsia"/>
          <w:sz w:val="20"/>
        </w:rPr>
        <w:t>he multiplexing capabilities of IAB node. However</w:t>
      </w:r>
      <w:r>
        <w:rPr>
          <w:rFonts w:hint="eastAsia"/>
          <w:sz w:val="20"/>
        </w:rPr>
        <w:t>, the fact that an IAB node has the capability to operate simultaneously does not mean that the IAB node can always perform simultaneous operation. There are some factors, e.g. timing alignment, power control and beams used by IAB-DU and collocated IAB-MT,</w:t>
      </w:r>
      <w:r>
        <w:rPr>
          <w:rFonts w:hint="eastAsia"/>
          <w:sz w:val="20"/>
        </w:rPr>
        <w:t xml:space="preserve"> which can impact the actual simultaneous operation capabilities. Therefore, it is difficult for CU to semi-static control all the IAB-DUs resource availability on spatial-domain due to the time-variant channel conditions. I.e. H/S/NA configuration is not </w:t>
      </w:r>
      <w:r>
        <w:rPr>
          <w:rFonts w:hint="eastAsia"/>
          <w:sz w:val="20"/>
        </w:rPr>
        <w:t>applicable for SDM.</w:t>
      </w:r>
    </w:p>
    <w:p w:rsidR="00092374" w:rsidRDefault="00D11D25">
      <w:pPr>
        <w:pStyle w:val="YJ-Observation"/>
        <w:spacing w:before="120" w:after="120"/>
        <w:rPr>
          <w:lang w:val="en-US" w:eastAsia="zh-CN"/>
        </w:rPr>
      </w:pPr>
      <w:r>
        <w:t xml:space="preserve"> </w:t>
      </w:r>
      <w:bookmarkStart w:id="24" w:name="_Toc68678013"/>
      <w:r>
        <w:rPr>
          <w:rFonts w:hint="eastAsia"/>
          <w:lang w:val="en-US" w:eastAsia="zh-CN"/>
        </w:rPr>
        <w:t>Semi-static H/S/NA configuration is not applicable for SDM due to time-variant channel conditions.</w:t>
      </w:r>
      <w:bookmarkEnd w:id="24"/>
      <w:r>
        <w:rPr>
          <w:rFonts w:hint="eastAsia"/>
          <w:lang w:val="en-US" w:eastAsia="zh-CN"/>
        </w:rPr>
        <w:t xml:space="preserve">  </w:t>
      </w:r>
    </w:p>
    <w:p w:rsidR="00092374" w:rsidRDefault="00D11D25">
      <w:pPr>
        <w:pStyle w:val="YJ-Proposal"/>
        <w:spacing w:before="120" w:after="120"/>
        <w:rPr>
          <w:lang w:val="en-US" w:eastAsia="zh-CN"/>
        </w:rPr>
      </w:pPr>
      <w:r>
        <w:t xml:space="preserve"> </w:t>
      </w:r>
      <w:bookmarkStart w:id="25" w:name="_Toc68678821"/>
      <w:r>
        <w:rPr>
          <w:rFonts w:hint="eastAsia"/>
        </w:rPr>
        <w:t>Extension of H/S/NA resource indication to the spatial domain is not supported.</w:t>
      </w:r>
      <w:bookmarkEnd w:id="25"/>
    </w:p>
    <w:p w:rsidR="00092374" w:rsidRDefault="00D11D25">
      <w:pPr>
        <w:spacing w:before="120" w:after="120"/>
        <w:rPr>
          <w:sz w:val="20"/>
        </w:rPr>
      </w:pPr>
      <w:r>
        <w:rPr>
          <w:rFonts w:hint="eastAsia"/>
          <w:sz w:val="20"/>
        </w:rPr>
        <w:t>Similar as slot format indication by DCI format 2_0 i</w:t>
      </w:r>
      <w:r>
        <w:rPr>
          <w:rFonts w:hint="eastAsia"/>
          <w:sz w:val="20"/>
        </w:rPr>
        <w:t>n Rel-16, the beams which will be used by parent backhaul link (e.g. parent node DU Tx beam, IAB-MT Tx beam) can be indicated by parent node to an IAB node. For instance, the desired TCI/SRI could be indicated to IAB node from its parent node in advance. A</w:t>
      </w:r>
      <w:r>
        <w:rPr>
          <w:rFonts w:hint="eastAsia"/>
          <w:sz w:val="20"/>
        </w:rPr>
        <w:t>ccording to the indicated beams, the IAB node can dynamically determine whether simultaneous operation can be performed, and dynamically determine how to perform SDM, e.g. selecting appropriate beam for IAB-DU.</w:t>
      </w:r>
    </w:p>
    <w:p w:rsidR="00092374" w:rsidRDefault="00D11D25">
      <w:pPr>
        <w:pStyle w:val="YJ-Proposal"/>
        <w:spacing w:before="120" w:after="120"/>
        <w:rPr>
          <w:lang w:val="en-US" w:eastAsia="zh-CN"/>
        </w:rPr>
      </w:pPr>
      <w:bookmarkStart w:id="26" w:name="_Toc68678822"/>
      <w:r>
        <w:rPr>
          <w:rFonts w:hint="eastAsia"/>
          <w:lang w:val="en-US" w:eastAsia="zh-CN"/>
        </w:rPr>
        <w:t>To enable simultaneous operation at the IAB n</w:t>
      </w:r>
      <w:r>
        <w:rPr>
          <w:rFonts w:hint="eastAsia"/>
          <w:lang w:val="en-US" w:eastAsia="zh-CN"/>
        </w:rPr>
        <w:t>ode, dynamic indication of beams which will be used by parent backhaul link (e.g. parent node DU Tx beam, IAB-MT Tx beam) can be supported, signaling similar as DCI format 2_0 could be a star</w:t>
      </w:r>
      <w:r>
        <w:rPr>
          <w:lang w:val="en-US" w:eastAsia="zh-CN"/>
        </w:rPr>
        <w:t>t</w:t>
      </w:r>
      <w:r>
        <w:rPr>
          <w:rFonts w:hint="eastAsia"/>
          <w:lang w:val="en-US" w:eastAsia="zh-CN"/>
        </w:rPr>
        <w:t>ing point for such indication.</w:t>
      </w:r>
      <w:bookmarkEnd w:id="26"/>
    </w:p>
    <w:p w:rsidR="00092374" w:rsidRDefault="00092374">
      <w:pPr>
        <w:pStyle w:val="YJ-Proposal"/>
        <w:numPr>
          <w:ilvl w:val="0"/>
          <w:numId w:val="0"/>
        </w:numPr>
        <w:spacing w:before="120" w:after="120"/>
        <w:rPr>
          <w:lang w:val="en-US" w:eastAsia="zh-CN"/>
        </w:rPr>
      </w:pPr>
    </w:p>
    <w:p w:rsidR="00092374" w:rsidRDefault="00D11D25">
      <w:pPr>
        <w:pStyle w:val="2"/>
        <w:spacing w:before="120" w:after="120"/>
        <w:ind w:left="991" w:right="210" w:hangingChars="354" w:hanging="991"/>
        <w:rPr>
          <w:szCs w:val="22"/>
        </w:rPr>
      </w:pPr>
      <w:r>
        <w:t>Dual connectivit</w:t>
      </w:r>
      <w:r>
        <w:rPr>
          <w:rFonts w:eastAsia="宋体" w:hint="eastAsia"/>
        </w:rPr>
        <w:t>y</w:t>
      </w:r>
    </w:p>
    <w:p w:rsidR="00092374" w:rsidRDefault="00D11D25">
      <w:pPr>
        <w:spacing w:before="120" w:after="120"/>
        <w:rPr>
          <w:sz w:val="20"/>
        </w:rPr>
      </w:pPr>
      <w:r>
        <w:rPr>
          <w:sz w:val="20"/>
        </w:rPr>
        <w:t xml:space="preserve">The following </w:t>
      </w:r>
      <w:r>
        <w:rPr>
          <w:sz w:val="20"/>
        </w:rPr>
        <w:t>agreements have been made in RAN1#10</w:t>
      </w:r>
      <w:r>
        <w:rPr>
          <w:rFonts w:hint="eastAsia"/>
          <w:sz w:val="20"/>
        </w:rPr>
        <w:t>4</w:t>
      </w:r>
      <w:r>
        <w:rPr>
          <w:sz w:val="20"/>
        </w:rPr>
        <w:t>e on dual connectivity for IAB node [1].</w:t>
      </w:r>
    </w:p>
    <w:tbl>
      <w:tblPr>
        <w:tblStyle w:val="aa"/>
        <w:tblW w:w="0" w:type="auto"/>
        <w:tblLook w:val="04A0" w:firstRow="1" w:lastRow="0" w:firstColumn="1" w:lastColumn="0" w:noHBand="0" w:noVBand="1"/>
      </w:tblPr>
      <w:tblGrid>
        <w:gridCol w:w="9876"/>
      </w:tblGrid>
      <w:tr w:rsidR="00092374">
        <w:tc>
          <w:tcPr>
            <w:tcW w:w="9876" w:type="dxa"/>
          </w:tcPr>
          <w:p w:rsidR="00092374" w:rsidRDefault="00D11D25">
            <w:pPr>
              <w:spacing w:before="120" w:after="120"/>
              <w:rPr>
                <w:rFonts w:cs="Times"/>
                <w:b/>
                <w:bCs/>
                <w:sz w:val="20"/>
              </w:rPr>
            </w:pPr>
            <w:r>
              <w:rPr>
                <w:rFonts w:cs="Times"/>
                <w:b/>
                <w:bCs/>
                <w:sz w:val="20"/>
                <w:highlight w:val="green"/>
              </w:rPr>
              <w:t>Agreement</w:t>
            </w:r>
          </w:p>
          <w:p w:rsidR="00092374" w:rsidRDefault="00D11D25">
            <w:pPr>
              <w:spacing w:before="120" w:after="120"/>
              <w:rPr>
                <w:rFonts w:cs="Times"/>
                <w:sz w:val="20"/>
              </w:rPr>
            </w:pPr>
            <w:r>
              <w:rPr>
                <w:rFonts w:cs="Times"/>
                <w:sz w:val="20"/>
              </w:rPr>
              <w:t>The following are considered to support at least inter-band inter-carrier scenarios in Rel-17:</w:t>
            </w:r>
          </w:p>
          <w:p w:rsidR="00092374" w:rsidRDefault="00D11D25">
            <w:pPr>
              <w:numPr>
                <w:ilvl w:val="0"/>
                <w:numId w:val="8"/>
              </w:numPr>
              <w:spacing w:before="120" w:after="120"/>
              <w:rPr>
                <w:rFonts w:cs="Times"/>
                <w:sz w:val="20"/>
              </w:rPr>
            </w:pPr>
            <w:r>
              <w:rPr>
                <w:rFonts w:cs="Times"/>
                <w:sz w:val="20"/>
              </w:rPr>
              <w:t xml:space="preserve">Solutions to address resource coordination/scheduling collision issues between parent nodes including TDD configurations and resource type indications at least in case of intra-donor CU multi-parent scenarios </w:t>
            </w:r>
          </w:p>
          <w:p w:rsidR="00092374" w:rsidRDefault="00D11D25">
            <w:pPr>
              <w:numPr>
                <w:ilvl w:val="1"/>
                <w:numId w:val="8"/>
              </w:numPr>
              <w:spacing w:before="120" w:after="120"/>
              <w:rPr>
                <w:rFonts w:cs="Times"/>
                <w:sz w:val="20"/>
              </w:rPr>
            </w:pPr>
            <w:r>
              <w:rPr>
                <w:rFonts w:cs="Times"/>
                <w:sz w:val="20"/>
              </w:rPr>
              <w:t>Consider Rel-16 CA framework as starting point</w:t>
            </w:r>
          </w:p>
          <w:p w:rsidR="00092374" w:rsidRDefault="00D11D25">
            <w:pPr>
              <w:numPr>
                <w:ilvl w:val="1"/>
                <w:numId w:val="8"/>
              </w:numPr>
              <w:spacing w:before="120" w:after="120"/>
              <w:rPr>
                <w:rFonts w:cs="Times"/>
                <w:sz w:val="20"/>
              </w:rPr>
            </w:pPr>
            <w:r>
              <w:rPr>
                <w:rFonts w:cs="Times"/>
                <w:sz w:val="20"/>
              </w:rPr>
              <w:t>Solutions for scheduling collision between two parent DUs due to indication of the resource availability for soft symbol(s) to the IAB-DU(s) by DCI format 2_5</w:t>
            </w:r>
          </w:p>
          <w:p w:rsidR="00092374" w:rsidRDefault="00D11D25">
            <w:pPr>
              <w:numPr>
                <w:ilvl w:val="1"/>
                <w:numId w:val="8"/>
              </w:numPr>
              <w:spacing w:before="120" w:after="120"/>
              <w:rPr>
                <w:rFonts w:cs="Times"/>
                <w:sz w:val="20"/>
              </w:rPr>
            </w:pPr>
            <w:r>
              <w:rPr>
                <w:rFonts w:cs="Times"/>
                <w:sz w:val="20"/>
              </w:rPr>
              <w:t>Solutions for scheduling collision between two parent DUs due to indication of the slot format b</w:t>
            </w:r>
            <w:r>
              <w:rPr>
                <w:rFonts w:cs="Times"/>
                <w:sz w:val="20"/>
              </w:rPr>
              <w:t>y DCI format 2_0</w:t>
            </w:r>
          </w:p>
          <w:p w:rsidR="00092374" w:rsidRDefault="00D11D25">
            <w:pPr>
              <w:numPr>
                <w:ilvl w:val="1"/>
                <w:numId w:val="8"/>
              </w:numPr>
              <w:spacing w:before="120" w:after="120"/>
              <w:rPr>
                <w:rFonts w:cs="Times"/>
                <w:sz w:val="20"/>
              </w:rPr>
            </w:pPr>
            <w:r>
              <w:rPr>
                <w:rFonts w:cs="Times"/>
                <w:sz w:val="20"/>
              </w:rPr>
              <w:t>FFS: Whether or not separate solutions are required for resource coordination in case of inter-donor CU multi-parent scenarios</w:t>
            </w:r>
          </w:p>
          <w:p w:rsidR="00092374" w:rsidRDefault="00D11D25">
            <w:pPr>
              <w:numPr>
                <w:ilvl w:val="0"/>
                <w:numId w:val="8"/>
              </w:numPr>
              <w:spacing w:before="120" w:after="120"/>
              <w:rPr>
                <w:rFonts w:cs="Times"/>
                <w:sz w:val="20"/>
              </w:rPr>
            </w:pPr>
            <w:r>
              <w:rPr>
                <w:rFonts w:cs="Times"/>
                <w:sz w:val="20"/>
              </w:rPr>
              <w:t>Per-backhaul link (e.g. per child IAB-MT link) resource configurations in addition to per-DU resource configurat</w:t>
            </w:r>
            <w:r>
              <w:rPr>
                <w:rFonts w:cs="Times"/>
                <w:sz w:val="20"/>
              </w:rPr>
              <w:t>ions</w:t>
            </w:r>
          </w:p>
          <w:p w:rsidR="00092374" w:rsidRDefault="00D11D25">
            <w:pPr>
              <w:numPr>
                <w:ilvl w:val="0"/>
                <w:numId w:val="8"/>
              </w:numPr>
              <w:spacing w:before="120" w:after="120"/>
              <w:rPr>
                <w:rFonts w:cs="Times"/>
                <w:sz w:val="20"/>
              </w:rPr>
            </w:pPr>
            <w:r>
              <w:rPr>
                <w:rFonts w:cs="Times"/>
                <w:sz w:val="20"/>
              </w:rPr>
              <w:t>FFS: Enhancements to indication of soft resource availability from child node to parent node(s)</w:t>
            </w:r>
          </w:p>
          <w:p w:rsidR="00092374" w:rsidRDefault="00D11D25">
            <w:pPr>
              <w:numPr>
                <w:ilvl w:val="0"/>
                <w:numId w:val="8"/>
              </w:numPr>
              <w:spacing w:before="120" w:after="120"/>
              <w:rPr>
                <w:rFonts w:cs="Times"/>
                <w:sz w:val="20"/>
              </w:rPr>
            </w:pPr>
            <w:r>
              <w:rPr>
                <w:rFonts w:cs="Times"/>
                <w:sz w:val="20"/>
              </w:rPr>
              <w:t>FFS: Additional restrictions on simultaneous operation and/or multiplexing</w:t>
            </w:r>
          </w:p>
          <w:p w:rsidR="00092374" w:rsidRDefault="00D11D25">
            <w:pPr>
              <w:numPr>
                <w:ilvl w:val="0"/>
                <w:numId w:val="8"/>
              </w:numPr>
              <w:spacing w:before="120" w:after="120"/>
              <w:rPr>
                <w:rFonts w:cs="Times"/>
                <w:sz w:val="20"/>
              </w:rPr>
            </w:pPr>
            <w:r>
              <w:rPr>
                <w:rFonts w:cs="Times"/>
                <w:sz w:val="20"/>
              </w:rPr>
              <w:t>FFS: Whether the above solutions are also applicable for intra-band inter-carrie</w:t>
            </w:r>
            <w:r>
              <w:rPr>
                <w:rFonts w:cs="Times"/>
                <w:sz w:val="20"/>
              </w:rPr>
              <w:t>r scenarios and whether additional solutions are required (e.g. RAN2 and RAN4 work related to adding band configuration and RRM requirements for intra-band inter-carrier NR-DC or updating related UE/MT capabilities for NR-DC so that they are applicable for</w:t>
            </w:r>
            <w:r>
              <w:rPr>
                <w:rFonts w:cs="Times"/>
                <w:sz w:val="20"/>
              </w:rPr>
              <w:t xml:space="preserve"> intra-band inter-carrier NR-DC)</w:t>
            </w:r>
          </w:p>
          <w:p w:rsidR="00092374" w:rsidRDefault="00092374">
            <w:pPr>
              <w:spacing w:before="120" w:after="120"/>
              <w:rPr>
                <w:sz w:val="20"/>
              </w:rPr>
            </w:pPr>
          </w:p>
        </w:tc>
      </w:tr>
    </w:tbl>
    <w:p w:rsidR="00092374" w:rsidRDefault="00D11D25">
      <w:pPr>
        <w:spacing w:before="120" w:after="120"/>
        <w:rPr>
          <w:rFonts w:cs="Times"/>
          <w:sz w:val="20"/>
        </w:rPr>
      </w:pPr>
      <w:r>
        <w:rPr>
          <w:rFonts w:hint="eastAsia"/>
          <w:sz w:val="20"/>
        </w:rPr>
        <w:t xml:space="preserve">For </w:t>
      </w:r>
      <w:r>
        <w:rPr>
          <w:rFonts w:cs="Times"/>
          <w:sz w:val="20"/>
        </w:rPr>
        <w:t>intra-band inter-carrier scenarios</w:t>
      </w:r>
      <w:r>
        <w:rPr>
          <w:rFonts w:cs="Times" w:hint="eastAsia"/>
          <w:sz w:val="20"/>
        </w:rPr>
        <w:t xml:space="preserve"> and </w:t>
      </w:r>
      <w:r>
        <w:rPr>
          <w:rFonts w:cs="Times"/>
          <w:sz w:val="20"/>
        </w:rPr>
        <w:t>int</w:t>
      </w:r>
      <w:r>
        <w:rPr>
          <w:rFonts w:cs="Times" w:hint="eastAsia"/>
          <w:sz w:val="20"/>
        </w:rPr>
        <w:t>er</w:t>
      </w:r>
      <w:r>
        <w:rPr>
          <w:rFonts w:cs="Times"/>
          <w:sz w:val="20"/>
        </w:rPr>
        <w:t>-band inter-carrier scenarios</w:t>
      </w:r>
      <w:r>
        <w:rPr>
          <w:rFonts w:cs="Times" w:hint="eastAsia"/>
          <w:sz w:val="20"/>
        </w:rPr>
        <w:t xml:space="preserve">, generally </w:t>
      </w:r>
      <w:r>
        <w:rPr>
          <w:rFonts w:cs="Times"/>
          <w:sz w:val="20"/>
        </w:rPr>
        <w:t>intra-band inter-carrier scenarios</w:t>
      </w:r>
      <w:r>
        <w:rPr>
          <w:rFonts w:cs="Times" w:hint="eastAsia"/>
          <w:sz w:val="20"/>
        </w:rPr>
        <w:t xml:space="preserve"> has more serious restrictions such as half duplex issue. So i</w:t>
      </w:r>
      <w:r>
        <w:rPr>
          <w:rFonts w:hint="eastAsia"/>
          <w:sz w:val="20"/>
        </w:rPr>
        <w:t xml:space="preserve">n this section, solutions about </w:t>
      </w:r>
      <w:r>
        <w:rPr>
          <w:rFonts w:cs="Times"/>
          <w:sz w:val="20"/>
        </w:rPr>
        <w:t xml:space="preserve">intra-band inter-carrier scenarios </w:t>
      </w:r>
      <w:r>
        <w:rPr>
          <w:rFonts w:cs="Times" w:hint="eastAsia"/>
          <w:sz w:val="20"/>
        </w:rPr>
        <w:t xml:space="preserve">are firstly discussed and the solution can be of course applied to a more relax </w:t>
      </w:r>
      <w:r>
        <w:rPr>
          <w:rFonts w:cs="Times"/>
          <w:sz w:val="20"/>
        </w:rPr>
        <w:t>int</w:t>
      </w:r>
      <w:r>
        <w:rPr>
          <w:rFonts w:cs="Times" w:hint="eastAsia"/>
          <w:sz w:val="20"/>
        </w:rPr>
        <w:t>er</w:t>
      </w:r>
      <w:r>
        <w:rPr>
          <w:rFonts w:cs="Times"/>
          <w:sz w:val="20"/>
        </w:rPr>
        <w:t>-band inter-carrier scenarios</w:t>
      </w:r>
      <w:r>
        <w:rPr>
          <w:rFonts w:cs="Times" w:hint="eastAsia"/>
          <w:sz w:val="20"/>
        </w:rPr>
        <w:t>.</w:t>
      </w:r>
    </w:p>
    <w:p w:rsidR="00092374" w:rsidRDefault="00D11D25">
      <w:pPr>
        <w:spacing w:before="120" w:after="120"/>
        <w:rPr>
          <w:rFonts w:cs="Times"/>
          <w:sz w:val="20"/>
        </w:rPr>
      </w:pPr>
      <w:r>
        <w:rPr>
          <w:rFonts w:cs="Times" w:hint="eastAsia"/>
          <w:sz w:val="20"/>
        </w:rPr>
        <w:t>For IAB DC,</w:t>
      </w:r>
      <w:r>
        <w:rPr>
          <w:sz w:val="20"/>
        </w:rPr>
        <w:t xml:space="preserve"> there is no ideal backhaul link between IAB nodes</w:t>
      </w:r>
      <w:r>
        <w:rPr>
          <w:rFonts w:hint="eastAsia"/>
          <w:sz w:val="20"/>
        </w:rPr>
        <w:t xml:space="preserve"> generally, so d</w:t>
      </w:r>
      <w:r>
        <w:rPr>
          <w:sz w:val="20"/>
        </w:rPr>
        <w:t>ynamic coordination (e.g. co</w:t>
      </w:r>
      <w:r>
        <w:rPr>
          <w:sz w:val="20"/>
        </w:rPr>
        <w:t>ordination of availability information indicated by DCI Format 2_5</w:t>
      </w:r>
      <w:r>
        <w:rPr>
          <w:rFonts w:hint="eastAsia"/>
          <w:sz w:val="20"/>
        </w:rPr>
        <w:t xml:space="preserve"> or slot format information indicated by DCI 2_0</w:t>
      </w:r>
      <w:r>
        <w:rPr>
          <w:sz w:val="20"/>
        </w:rPr>
        <w:t>) between two parent nodes is not possible.</w:t>
      </w:r>
      <w:r>
        <w:rPr>
          <w:rFonts w:cs="Times" w:hint="eastAsia"/>
          <w:sz w:val="20"/>
        </w:rPr>
        <w:t xml:space="preserve"> </w:t>
      </w:r>
    </w:p>
    <w:p w:rsidR="00092374" w:rsidRDefault="00D11D25">
      <w:pPr>
        <w:pStyle w:val="YJ-Proposal"/>
        <w:spacing w:before="120" w:after="120"/>
        <w:rPr>
          <w:rFonts w:cs="Times"/>
          <w:lang w:val="en-US" w:eastAsia="zh-CN"/>
        </w:rPr>
      </w:pPr>
      <w:r>
        <w:rPr>
          <w:rFonts w:cs="Times"/>
          <w:lang w:eastAsia="zh-CN"/>
        </w:rPr>
        <w:t xml:space="preserve"> </w:t>
      </w:r>
      <w:bookmarkStart w:id="27" w:name="_Toc68678823"/>
      <w:r>
        <w:rPr>
          <w:rFonts w:cs="Times" w:hint="eastAsia"/>
          <w:lang w:val="en-US" w:eastAsia="zh-CN"/>
        </w:rPr>
        <w:t xml:space="preserve">Dynamic </w:t>
      </w:r>
      <w:r>
        <w:rPr>
          <w:rFonts w:cs="Times"/>
          <w:lang w:eastAsia="zh-CN"/>
        </w:rPr>
        <w:t>resource coordination</w:t>
      </w:r>
      <w:r>
        <w:rPr>
          <w:rFonts w:cs="Times" w:hint="eastAsia"/>
          <w:lang w:val="en-US" w:eastAsia="zh-CN"/>
        </w:rPr>
        <w:t xml:space="preserve"> </w:t>
      </w:r>
      <w:r>
        <w:rPr>
          <w:rFonts w:cs="Times"/>
          <w:lang w:eastAsia="zh-CN"/>
        </w:rPr>
        <w:t xml:space="preserve">between parent nodes </w:t>
      </w:r>
      <w:r>
        <w:rPr>
          <w:rFonts w:hint="eastAsia"/>
          <w:lang w:val="en-US" w:eastAsia="zh-CN"/>
        </w:rPr>
        <w:t>is not supported</w:t>
      </w:r>
      <w:r>
        <w:rPr>
          <w:rFonts w:cs="Times" w:hint="eastAsia"/>
          <w:lang w:val="en-US" w:eastAsia="zh-CN"/>
        </w:rPr>
        <w:t>.</w:t>
      </w:r>
      <w:bookmarkEnd w:id="27"/>
    </w:p>
    <w:p w:rsidR="00092374" w:rsidRDefault="00092374">
      <w:pPr>
        <w:spacing w:before="120" w:after="120"/>
        <w:rPr>
          <w:rFonts w:cs="Times"/>
          <w:sz w:val="20"/>
        </w:rPr>
      </w:pPr>
    </w:p>
    <w:p w:rsidR="00092374" w:rsidRDefault="00D11D25">
      <w:pPr>
        <w:numPr>
          <w:ilvl w:val="0"/>
          <w:numId w:val="10"/>
        </w:numPr>
        <w:spacing w:before="120" w:after="120"/>
        <w:rPr>
          <w:rFonts w:cs="Times"/>
          <w:sz w:val="20"/>
        </w:rPr>
      </w:pPr>
      <w:r>
        <w:rPr>
          <w:rFonts w:cs="Times" w:hint="eastAsia"/>
          <w:sz w:val="20"/>
        </w:rPr>
        <w:t>S</w:t>
      </w:r>
      <w:r>
        <w:rPr>
          <w:rFonts w:cs="Times"/>
          <w:sz w:val="20"/>
        </w:rPr>
        <w:t>cheduling collision betwe</w:t>
      </w:r>
      <w:r>
        <w:rPr>
          <w:rFonts w:cs="Times"/>
          <w:sz w:val="20"/>
        </w:rPr>
        <w:t>en two parent DUs due to indication of the resource availability for soft symbol(s) to the IAB-DU(s) by DCI format 2_5</w:t>
      </w:r>
    </w:p>
    <w:p w:rsidR="00092374" w:rsidRDefault="00D11D25">
      <w:pPr>
        <w:spacing w:before="120" w:after="120"/>
        <w:rPr>
          <w:sz w:val="20"/>
        </w:rPr>
      </w:pPr>
      <w:r>
        <w:rPr>
          <w:sz w:val="20"/>
        </w:rPr>
        <w:t>In DC scenario, one parent has no knowledge of availability indication of another’s, for example, when both</w:t>
      </w:r>
      <w:r>
        <w:rPr>
          <w:rFonts w:hint="eastAsia"/>
          <w:sz w:val="20"/>
        </w:rPr>
        <w:t xml:space="preserve"> parent</w:t>
      </w:r>
      <w:r>
        <w:rPr>
          <w:sz w:val="20"/>
        </w:rPr>
        <w:t xml:space="preserve"> IAB1 and </w:t>
      </w:r>
      <w:r>
        <w:rPr>
          <w:rFonts w:hint="eastAsia"/>
          <w:sz w:val="20"/>
        </w:rPr>
        <w:t xml:space="preserve">parent </w:t>
      </w:r>
      <w:r>
        <w:rPr>
          <w:sz w:val="20"/>
        </w:rPr>
        <w:t xml:space="preserve">IAB 2 </w:t>
      </w:r>
      <w:r>
        <w:rPr>
          <w:sz w:val="20"/>
        </w:rPr>
        <w:t>can indicate the resource availability for soft symbol(s) to the IAB3-DU(s) by DCI format 2_5, and when parent IAB1 indicates the a DU resource at IAB3 side as available while parent IAB2 does not indicate the same resource as available, IAB3 DU will not k</w:t>
      </w:r>
      <w:r>
        <w:rPr>
          <w:sz w:val="20"/>
        </w:rPr>
        <w:t xml:space="preserve">now how to set the attribution of the resource. </w:t>
      </w:r>
    </w:p>
    <w:p w:rsidR="00092374" w:rsidRDefault="00D11D25">
      <w:pPr>
        <w:spacing w:before="120" w:after="120"/>
        <w:rPr>
          <w:sz w:val="20"/>
        </w:rPr>
      </w:pPr>
      <w:r>
        <w:rPr>
          <w:sz w:val="20"/>
        </w:rPr>
        <w:t xml:space="preserve">Generally speaking, if both parents are allowed to indicate the resource availability for soft symbol(s) of the same DU </w:t>
      </w:r>
      <w:r>
        <w:rPr>
          <w:rFonts w:hint="eastAsia"/>
          <w:sz w:val="20"/>
        </w:rPr>
        <w:t>cell</w:t>
      </w:r>
      <w:r>
        <w:rPr>
          <w:sz w:val="20"/>
        </w:rPr>
        <w:t>, there is inevitable potential conflict, and then a series spec work about conflict information report and DU resource availability confirmation are needed, which will lead to a more complex specification procedure, to avoid this situation, it is better j</w:t>
      </w:r>
      <w:r>
        <w:rPr>
          <w:sz w:val="20"/>
        </w:rPr>
        <w:t xml:space="preserve">ust one parent is allowed to indicate the resource availability for soft symbol(s) to </w:t>
      </w:r>
      <w:r>
        <w:rPr>
          <w:rFonts w:hint="eastAsia"/>
          <w:sz w:val="20"/>
        </w:rPr>
        <w:t>a</w:t>
      </w:r>
      <w:r>
        <w:rPr>
          <w:sz w:val="20"/>
        </w:rPr>
        <w:t xml:space="preserve"> </w:t>
      </w:r>
      <w:r>
        <w:rPr>
          <w:rFonts w:hint="eastAsia"/>
          <w:sz w:val="20"/>
        </w:rPr>
        <w:t xml:space="preserve">cell of the </w:t>
      </w:r>
      <w:r>
        <w:rPr>
          <w:sz w:val="20"/>
        </w:rPr>
        <w:t>IAB-DU(s) by DCI format 2_5.</w:t>
      </w:r>
    </w:p>
    <w:p w:rsidR="00092374" w:rsidRDefault="00D11D25">
      <w:pPr>
        <w:pStyle w:val="YJ-Proposal"/>
        <w:spacing w:before="120" w:after="120"/>
        <w:rPr>
          <w:rFonts w:eastAsia="宋体"/>
          <w:lang w:val="en-US" w:eastAsia="zh-CN"/>
        </w:rPr>
      </w:pPr>
      <w:bookmarkStart w:id="28" w:name="_Toc68678824"/>
      <w:r>
        <w:rPr>
          <w:rFonts w:hint="eastAsia"/>
          <w:lang w:val="en-US" w:eastAsia="zh-CN"/>
        </w:rPr>
        <w:t xml:space="preserve">Just one </w:t>
      </w:r>
      <w:r>
        <w:rPr>
          <w:rFonts w:cs="Times" w:hint="eastAsia"/>
          <w:lang w:val="en-US" w:eastAsia="zh-CN"/>
        </w:rPr>
        <w:t>resource availability indication either from MCG or from SCG is expected for a IAB-DU soft symbol of a IAB DU cell.</w:t>
      </w:r>
      <w:bookmarkEnd w:id="28"/>
    </w:p>
    <w:p w:rsidR="00092374" w:rsidRDefault="00092374">
      <w:pPr>
        <w:pStyle w:val="YJ-Proposal"/>
        <w:numPr>
          <w:ilvl w:val="0"/>
          <w:numId w:val="0"/>
        </w:numPr>
        <w:spacing w:before="120" w:after="120"/>
        <w:rPr>
          <w:rFonts w:cs="Times"/>
          <w:lang w:val="en-US" w:eastAsia="zh-CN"/>
        </w:rPr>
      </w:pPr>
    </w:p>
    <w:p w:rsidR="00092374" w:rsidRDefault="00D11D25">
      <w:pPr>
        <w:numPr>
          <w:ilvl w:val="0"/>
          <w:numId w:val="10"/>
        </w:numPr>
        <w:spacing w:before="120" w:after="120"/>
        <w:rPr>
          <w:rFonts w:cs="Times"/>
          <w:sz w:val="20"/>
        </w:rPr>
      </w:pPr>
      <w:r>
        <w:rPr>
          <w:rFonts w:cs="Times" w:hint="eastAsia"/>
          <w:sz w:val="20"/>
        </w:rPr>
        <w:t>S</w:t>
      </w:r>
      <w:r>
        <w:rPr>
          <w:rFonts w:cs="Times"/>
          <w:sz w:val="20"/>
        </w:rPr>
        <w:t>cheduling collision between two parent DUs due to indication of the slot format by DCI format 2_0</w:t>
      </w:r>
    </w:p>
    <w:p w:rsidR="00092374" w:rsidRDefault="00092374">
      <w:pPr>
        <w:spacing w:before="120" w:after="120"/>
        <w:rPr>
          <w:sz w:val="20"/>
        </w:rPr>
      </w:pPr>
    </w:p>
    <w:p w:rsidR="00092374" w:rsidRDefault="00D11D25">
      <w:pPr>
        <w:spacing w:before="120" w:after="120"/>
        <w:rPr>
          <w:sz w:val="20"/>
        </w:rPr>
      </w:pPr>
      <w:r>
        <w:rPr>
          <w:rFonts w:hint="eastAsia"/>
          <w:sz w:val="20"/>
        </w:rPr>
        <w:t xml:space="preserve">Though there are </w:t>
      </w:r>
      <w:r>
        <w:rPr>
          <w:sz w:val="20"/>
        </w:rPr>
        <w:t>semi-static resource configuration/coordination (e.g. H/S.NA resource) between two parent nodes</w:t>
      </w:r>
      <w:r>
        <w:rPr>
          <w:rFonts w:hint="eastAsia"/>
          <w:sz w:val="20"/>
        </w:rPr>
        <w:t xml:space="preserve"> in high layers, slot format indications may </w:t>
      </w:r>
      <w:r>
        <w:rPr>
          <w:rFonts w:hint="eastAsia"/>
          <w:sz w:val="20"/>
        </w:rPr>
        <w:t>also conflict when indications in DCI 2_0 from two parent are not consistent on the F symbols. For this issue, four options can be considered:</w:t>
      </w:r>
    </w:p>
    <w:p w:rsidR="00092374" w:rsidRDefault="00D11D25">
      <w:pPr>
        <w:numPr>
          <w:ilvl w:val="1"/>
          <w:numId w:val="10"/>
        </w:numPr>
        <w:spacing w:before="120" w:after="120"/>
        <w:rPr>
          <w:sz w:val="20"/>
        </w:rPr>
      </w:pPr>
      <w:r>
        <w:rPr>
          <w:rFonts w:cs="Times" w:hint="eastAsia"/>
          <w:sz w:val="20"/>
        </w:rPr>
        <w:t>Option1</w:t>
      </w:r>
      <w:r>
        <w:rPr>
          <w:rFonts w:hint="eastAsia"/>
          <w:sz w:val="20"/>
        </w:rPr>
        <w:t>: the conflict issue is handled by DU implementation, this means slot format indication in DCI 2_0 from tw</w:t>
      </w:r>
      <w:r>
        <w:rPr>
          <w:rFonts w:hint="eastAsia"/>
          <w:sz w:val="20"/>
        </w:rPr>
        <w:t>o parents are not expected to be conflicted. To support this, multiple carrier multiplex capability from MCG and SCG should be reported to both parents.</w:t>
      </w:r>
    </w:p>
    <w:p w:rsidR="00092374" w:rsidRDefault="00D11D25">
      <w:pPr>
        <w:numPr>
          <w:ilvl w:val="1"/>
          <w:numId w:val="10"/>
        </w:numPr>
        <w:spacing w:before="120" w:after="120"/>
        <w:rPr>
          <w:sz w:val="20"/>
        </w:rPr>
      </w:pPr>
      <w:r>
        <w:rPr>
          <w:rFonts w:cs="Times" w:hint="eastAsia"/>
          <w:sz w:val="20"/>
        </w:rPr>
        <w:t>Option2</w:t>
      </w:r>
      <w:r>
        <w:rPr>
          <w:rFonts w:hint="eastAsia"/>
          <w:sz w:val="20"/>
        </w:rPr>
        <w:t>: in order to avoid conflict, just one parent is enabled to transmit DCI 2_0 in carriers which h</w:t>
      </w:r>
      <w:r>
        <w:rPr>
          <w:rFonts w:hint="eastAsia"/>
          <w:sz w:val="20"/>
        </w:rPr>
        <w:t>as half duplex constriction.</w:t>
      </w:r>
    </w:p>
    <w:p w:rsidR="00092374" w:rsidRDefault="00D11D25">
      <w:pPr>
        <w:numPr>
          <w:ilvl w:val="1"/>
          <w:numId w:val="10"/>
        </w:numPr>
        <w:spacing w:before="120" w:after="120"/>
        <w:rPr>
          <w:sz w:val="20"/>
        </w:rPr>
      </w:pPr>
      <w:r>
        <w:rPr>
          <w:rFonts w:cs="Times" w:hint="eastAsia"/>
          <w:sz w:val="20"/>
        </w:rPr>
        <w:t>Option3</w:t>
      </w:r>
      <w:r>
        <w:rPr>
          <w:rFonts w:hint="eastAsia"/>
          <w:sz w:val="20"/>
        </w:rPr>
        <w:t>: when conflict is detected, the MT report the conflict information to the primary parent or secondary parent, the parent which receive the report information can re-transmit DCI 2_0 in a valid time budget.</w:t>
      </w:r>
    </w:p>
    <w:p w:rsidR="00092374" w:rsidRDefault="00D11D25">
      <w:pPr>
        <w:numPr>
          <w:ilvl w:val="1"/>
          <w:numId w:val="10"/>
        </w:numPr>
        <w:spacing w:before="120" w:after="120"/>
        <w:rPr>
          <w:sz w:val="20"/>
        </w:rPr>
      </w:pPr>
      <w:r>
        <w:rPr>
          <w:rFonts w:cs="Times" w:hint="eastAsia"/>
          <w:sz w:val="20"/>
        </w:rPr>
        <w:t xml:space="preserve">Option </w:t>
      </w:r>
      <w:r>
        <w:rPr>
          <w:rFonts w:hint="eastAsia"/>
          <w:sz w:val="20"/>
        </w:rPr>
        <w:t>4: the</w:t>
      </w:r>
      <w:r>
        <w:rPr>
          <w:rFonts w:hint="eastAsia"/>
          <w:sz w:val="20"/>
        </w:rPr>
        <w:t xml:space="preserve"> F symbols are valid only when the indications from both parents are not conflicted, and based on this mechanism, the IAB need to report indication confirm information to parent DU.</w:t>
      </w:r>
    </w:p>
    <w:p w:rsidR="00092374" w:rsidRDefault="00D11D25">
      <w:pPr>
        <w:spacing w:before="120" w:after="120"/>
        <w:rPr>
          <w:sz w:val="20"/>
        </w:rPr>
      </w:pPr>
      <w:r>
        <w:rPr>
          <w:rFonts w:hint="eastAsia"/>
          <w:sz w:val="20"/>
        </w:rPr>
        <w:t>For option 3,</w:t>
      </w:r>
      <w:r>
        <w:rPr>
          <w:sz w:val="20"/>
        </w:rPr>
        <w:t xml:space="preserve"> </w:t>
      </w:r>
      <w:r>
        <w:rPr>
          <w:rFonts w:hint="eastAsia"/>
          <w:sz w:val="20"/>
        </w:rPr>
        <w:t xml:space="preserve">4, the feasibility is not justified, and both of them need </w:t>
      </w:r>
      <w:r>
        <w:rPr>
          <w:rFonts w:hint="eastAsia"/>
          <w:sz w:val="20"/>
        </w:rPr>
        <w:t>some additional specification work for conflict information exchange or resource availability conformation between IAB and parent, and for option 1 and option 2, option 1 is slightly preferred.</w:t>
      </w:r>
    </w:p>
    <w:p w:rsidR="00092374" w:rsidRDefault="00D11D25">
      <w:pPr>
        <w:pStyle w:val="YJ-Proposal"/>
        <w:spacing w:before="120" w:after="120"/>
        <w:rPr>
          <w:lang w:val="en-US" w:eastAsia="zh-CN"/>
        </w:rPr>
      </w:pPr>
      <w:bookmarkStart w:id="29" w:name="_Toc68678825"/>
      <w:r>
        <w:rPr>
          <w:rFonts w:hint="eastAsia"/>
          <w:lang w:val="en-US" w:eastAsia="zh-CN"/>
        </w:rPr>
        <w:t>For scheduling collision between two parent DUs due to indicat</w:t>
      </w:r>
      <w:r>
        <w:rPr>
          <w:rFonts w:hint="eastAsia"/>
          <w:lang w:val="en-US" w:eastAsia="zh-CN"/>
        </w:rPr>
        <w:t>ion of the slot format by DCI format 2_0, it can be handled by DU implementation.</w:t>
      </w:r>
      <w:bookmarkEnd w:id="29"/>
    </w:p>
    <w:p w:rsidR="00092374" w:rsidRDefault="00D11D25">
      <w:pPr>
        <w:spacing w:before="120" w:after="120"/>
        <w:rPr>
          <w:sz w:val="20"/>
        </w:rPr>
      </w:pPr>
      <w:r>
        <w:rPr>
          <w:rFonts w:cs="Times" w:hint="eastAsia"/>
          <w:sz w:val="20"/>
        </w:rPr>
        <w:t xml:space="preserve">With regard to </w:t>
      </w:r>
      <w:r>
        <w:rPr>
          <w:rFonts w:cs="Times"/>
          <w:sz w:val="20"/>
        </w:rPr>
        <w:t>inter-donor CU multi-parent scenarios</w:t>
      </w:r>
      <w:r>
        <w:rPr>
          <w:rFonts w:cs="Times" w:hint="eastAsia"/>
          <w:sz w:val="20"/>
        </w:rPr>
        <w:t xml:space="preserve"> and intra-donor </w:t>
      </w:r>
      <w:r>
        <w:rPr>
          <w:rFonts w:cs="Times"/>
          <w:sz w:val="20"/>
        </w:rPr>
        <w:t>CU multi-parent scenarios</w:t>
      </w:r>
      <w:r>
        <w:rPr>
          <w:rFonts w:cs="Times" w:hint="eastAsia"/>
          <w:sz w:val="20"/>
        </w:rPr>
        <w:t xml:space="preserve">, we suppose both scenarios have high layer </w:t>
      </w:r>
      <w:r>
        <w:rPr>
          <w:sz w:val="20"/>
        </w:rPr>
        <w:t>semi-static resource configuration/c</w:t>
      </w:r>
      <w:r>
        <w:rPr>
          <w:sz w:val="20"/>
        </w:rPr>
        <w:t>oordination</w:t>
      </w:r>
      <w:r>
        <w:rPr>
          <w:rFonts w:hint="eastAsia"/>
          <w:sz w:val="20"/>
        </w:rPr>
        <w:t xml:space="preserve"> </w:t>
      </w:r>
      <w:r>
        <w:rPr>
          <w:sz w:val="20"/>
        </w:rPr>
        <w:t>between two parent nodes</w:t>
      </w:r>
      <w:r>
        <w:rPr>
          <w:rFonts w:hint="eastAsia"/>
          <w:sz w:val="20"/>
        </w:rPr>
        <w:t>, and for solutions targeting for the two scheduling collisions mentioned above, they are more relevant to physical layer solutions, which is independent on whether it is a</w:t>
      </w:r>
      <w:r>
        <w:rPr>
          <w:sz w:val="20"/>
        </w:rPr>
        <w:t>n</w:t>
      </w:r>
      <w:r>
        <w:rPr>
          <w:rFonts w:hint="eastAsia"/>
          <w:sz w:val="20"/>
        </w:rPr>
        <w:t xml:space="preserve"> </w:t>
      </w:r>
      <w:r>
        <w:rPr>
          <w:rFonts w:cs="Times"/>
          <w:sz w:val="20"/>
        </w:rPr>
        <w:t>inter-donor</w:t>
      </w:r>
      <w:r>
        <w:rPr>
          <w:rFonts w:cs="Times" w:hint="eastAsia"/>
          <w:sz w:val="20"/>
        </w:rPr>
        <w:t xml:space="preserve"> or intra-donor </w:t>
      </w:r>
      <w:r>
        <w:rPr>
          <w:rFonts w:cs="Times"/>
          <w:sz w:val="20"/>
        </w:rPr>
        <w:t>CU multi-parent sce</w:t>
      </w:r>
      <w:r>
        <w:rPr>
          <w:rFonts w:cs="Times"/>
          <w:sz w:val="20"/>
        </w:rPr>
        <w:t>nario</w:t>
      </w:r>
      <w:r>
        <w:rPr>
          <w:rFonts w:cs="Times" w:hint="eastAsia"/>
          <w:sz w:val="20"/>
        </w:rPr>
        <w:t xml:space="preserve">s. So </w:t>
      </w:r>
      <w:r>
        <w:rPr>
          <w:rFonts w:cs="Times"/>
          <w:sz w:val="20"/>
        </w:rPr>
        <w:t>separate solutions</w:t>
      </w:r>
      <w:r>
        <w:rPr>
          <w:rFonts w:cs="Times" w:hint="eastAsia"/>
          <w:sz w:val="20"/>
        </w:rPr>
        <w:t xml:space="preserve"> f</w:t>
      </w:r>
      <w:r>
        <w:rPr>
          <w:rFonts w:cs="Times"/>
          <w:sz w:val="20"/>
        </w:rPr>
        <w:t>or resource coordination in case of inter-donor CU multi-parent scenarios</w:t>
      </w:r>
      <w:r>
        <w:rPr>
          <w:rFonts w:cs="Times" w:hint="eastAsia"/>
          <w:sz w:val="20"/>
        </w:rPr>
        <w:t xml:space="preserve"> are not needed.</w:t>
      </w:r>
    </w:p>
    <w:p w:rsidR="00092374" w:rsidRDefault="00D11D25">
      <w:pPr>
        <w:pStyle w:val="YJ-Proposal"/>
        <w:spacing w:before="120" w:after="120"/>
        <w:rPr>
          <w:lang w:val="en-US" w:eastAsia="zh-CN"/>
        </w:rPr>
      </w:pPr>
      <w:bookmarkStart w:id="30" w:name="_Toc68678826"/>
      <w:r>
        <w:rPr>
          <w:rFonts w:cs="Times" w:hint="eastAsia"/>
          <w:lang w:eastAsia="zh-CN"/>
        </w:rPr>
        <w:t xml:space="preserve">From RAN1 perspective, both intra-donor and inter-donor multi-parent </w:t>
      </w:r>
      <w:r>
        <w:rPr>
          <w:rFonts w:cs="Times"/>
          <w:lang w:eastAsia="zh-CN"/>
        </w:rPr>
        <w:t>scenarios</w:t>
      </w:r>
      <w:r>
        <w:rPr>
          <w:rFonts w:cs="Times" w:hint="eastAsia"/>
          <w:lang w:eastAsia="zh-CN"/>
        </w:rPr>
        <w:t xml:space="preserve"> </w:t>
      </w:r>
      <w:r>
        <w:rPr>
          <w:rFonts w:cs="Times" w:hint="eastAsia"/>
          <w:lang w:val="en-US" w:eastAsia="zh-CN"/>
        </w:rPr>
        <w:t>can</w:t>
      </w:r>
      <w:r>
        <w:rPr>
          <w:rFonts w:cs="Times" w:hint="eastAsia"/>
          <w:lang w:eastAsia="zh-CN"/>
        </w:rPr>
        <w:t xml:space="preserve"> be supported within a common framework</w:t>
      </w:r>
      <w:r>
        <w:rPr>
          <w:rFonts w:cs="Times" w:hint="eastAsia"/>
          <w:lang w:val="en-US" w:eastAsia="zh-CN"/>
        </w:rPr>
        <w:t>.</w:t>
      </w:r>
      <w:bookmarkEnd w:id="30"/>
    </w:p>
    <w:p w:rsidR="00092374" w:rsidRDefault="00092374">
      <w:pPr>
        <w:pStyle w:val="YJ-Proposal"/>
        <w:numPr>
          <w:ilvl w:val="255"/>
          <w:numId w:val="0"/>
        </w:numPr>
        <w:spacing w:before="120" w:after="120"/>
        <w:rPr>
          <w:lang w:val="en-US" w:eastAsia="zh-CN"/>
        </w:rPr>
      </w:pPr>
    </w:p>
    <w:p w:rsidR="00092374" w:rsidRDefault="00092374">
      <w:pPr>
        <w:spacing w:before="120" w:after="120"/>
        <w:rPr>
          <w:color w:val="000000"/>
          <w:sz w:val="20"/>
        </w:rPr>
      </w:pPr>
    </w:p>
    <w:p w:rsidR="00092374" w:rsidRDefault="00092374">
      <w:pPr>
        <w:spacing w:before="120" w:after="120"/>
      </w:pPr>
    </w:p>
    <w:p w:rsidR="00092374" w:rsidRDefault="00D11D25">
      <w:pPr>
        <w:pStyle w:val="1"/>
        <w:spacing w:before="120" w:after="120"/>
        <w:ind w:left="0"/>
        <w:rPr>
          <w:rFonts w:eastAsia="宋体"/>
        </w:rPr>
      </w:pPr>
      <w:r>
        <w:rPr>
          <w:rFonts w:eastAsia="宋体" w:hint="eastAsia"/>
        </w:rPr>
        <w:t>Conclusio</w:t>
      </w:r>
      <w:r>
        <w:rPr>
          <w:rFonts w:eastAsia="宋体" w:hint="eastAsia"/>
        </w:rPr>
        <w:t>n</w:t>
      </w:r>
    </w:p>
    <w:p w:rsidR="00092374" w:rsidRDefault="00D11D25">
      <w:pPr>
        <w:spacing w:before="120" w:after="120"/>
        <w:rPr>
          <w:szCs w:val="22"/>
        </w:rPr>
      </w:pPr>
      <w:r>
        <w:rPr>
          <w:sz w:val="20"/>
        </w:rPr>
        <w:t>According to the discussion above, we provide the following observation</w:t>
      </w:r>
      <w:r>
        <w:rPr>
          <w:rFonts w:hint="eastAsia"/>
          <w:sz w:val="20"/>
        </w:rPr>
        <w:t>s</w:t>
      </w:r>
      <w:r>
        <w:rPr>
          <w:sz w:val="20"/>
        </w:rPr>
        <w:t xml:space="preserve"> and proposals on resource multiplexing of IAB</w:t>
      </w:r>
      <w:r>
        <w:rPr>
          <w:rFonts w:hint="eastAsia"/>
          <w:sz w:val="20"/>
        </w:rPr>
        <w:t>:</w:t>
      </w:r>
    </w:p>
    <w:p w:rsidR="00092374" w:rsidRDefault="00D11D25">
      <w:pPr>
        <w:pStyle w:val="10"/>
        <w:tabs>
          <w:tab w:val="left" w:pos="1470"/>
        </w:tabs>
        <w:spacing w:before="120" w:after="120"/>
        <w:rPr>
          <w:rFonts w:asciiTheme="minorHAnsi" w:hAnsiTheme="minorHAnsi" w:cstheme="minorBidi"/>
          <w:b w:val="0"/>
          <w:bCs w:val="0"/>
          <w:i w:val="0"/>
          <w:iCs w:val="0"/>
          <w:sz w:val="21"/>
          <w:szCs w:val="22"/>
        </w:rPr>
      </w:pPr>
      <w:r>
        <w:rPr>
          <w:sz w:val="21"/>
          <w:szCs w:val="22"/>
        </w:rPr>
        <w:fldChar w:fldCharType="begin"/>
      </w:r>
      <w:r>
        <w:rPr>
          <w:sz w:val="21"/>
          <w:szCs w:val="22"/>
        </w:rPr>
        <w:instrText>TOC \n  \t "YJ-Observation,1,sub-observation,2,3rd level observation,3" \h</w:instrText>
      </w:r>
      <w:r>
        <w:rPr>
          <w:sz w:val="21"/>
          <w:szCs w:val="22"/>
        </w:rPr>
        <w:fldChar w:fldCharType="separate"/>
      </w:r>
      <w:hyperlink w:anchor="_Toc68678012" w:history="1">
        <w:r>
          <w:rPr>
            <w:rStyle w:val="ac"/>
            <w:rFonts w:eastAsia="宋体"/>
          </w:rPr>
          <w:t>Observation 1:</w:t>
        </w:r>
        <w:r>
          <w:rPr>
            <w:rFonts w:asciiTheme="minorHAnsi" w:hAnsiTheme="minorHAnsi" w:cstheme="minorBidi"/>
            <w:b w:val="0"/>
            <w:bCs w:val="0"/>
            <w:i w:val="0"/>
            <w:iCs w:val="0"/>
            <w:sz w:val="21"/>
            <w:szCs w:val="22"/>
          </w:rPr>
          <w:tab/>
        </w:r>
        <w:r>
          <w:rPr>
            <w:rStyle w:val="ac"/>
          </w:rPr>
          <w:t>It's foreseeable</w:t>
        </w:r>
        <w:r>
          <w:rPr>
            <w:rStyle w:val="ac"/>
          </w:rPr>
          <w:t xml:space="preserve"> that a lot of normative works could be incurred if the indication of the dynamic availability of soft resources in frequency domain were supported yet the benefit is not clear.</w:t>
        </w:r>
      </w:hyperlink>
    </w:p>
    <w:p w:rsidR="00092374" w:rsidRDefault="00D11D25">
      <w:pPr>
        <w:pStyle w:val="10"/>
        <w:tabs>
          <w:tab w:val="left" w:pos="1470"/>
        </w:tabs>
        <w:spacing w:before="120" w:after="120"/>
        <w:rPr>
          <w:rFonts w:asciiTheme="minorHAnsi" w:hAnsiTheme="minorHAnsi" w:cstheme="minorBidi"/>
          <w:b w:val="0"/>
          <w:bCs w:val="0"/>
          <w:i w:val="0"/>
          <w:iCs w:val="0"/>
          <w:sz w:val="21"/>
          <w:szCs w:val="22"/>
        </w:rPr>
      </w:pPr>
      <w:hyperlink w:anchor="_Toc68678013" w:history="1">
        <w:r>
          <w:rPr>
            <w:rStyle w:val="ac"/>
            <w:rFonts w:eastAsia="宋体"/>
          </w:rPr>
          <w:t>Observation 2:</w:t>
        </w:r>
        <w:r>
          <w:rPr>
            <w:rFonts w:asciiTheme="minorHAnsi" w:hAnsiTheme="minorHAnsi" w:cstheme="minorBidi"/>
            <w:b w:val="0"/>
            <w:bCs w:val="0"/>
            <w:i w:val="0"/>
            <w:iCs w:val="0"/>
            <w:sz w:val="21"/>
            <w:szCs w:val="22"/>
          </w:rPr>
          <w:tab/>
        </w:r>
        <w:r>
          <w:rPr>
            <w:rStyle w:val="ac"/>
          </w:rPr>
          <w:t>Semi-static H/S/NA configuratio</w:t>
        </w:r>
        <w:r>
          <w:rPr>
            <w:rStyle w:val="ac"/>
          </w:rPr>
          <w:t>n is not applicable for SDM due to time-variant channel conditions.</w:t>
        </w:r>
      </w:hyperlink>
    </w:p>
    <w:p w:rsidR="00092374" w:rsidRDefault="00D11D25">
      <w:pPr>
        <w:spacing w:before="120" w:after="120"/>
      </w:pPr>
      <w:r>
        <w:rPr>
          <w:szCs w:val="22"/>
        </w:rPr>
        <w:fldChar w:fldCharType="end"/>
      </w:r>
    </w:p>
    <w:p w:rsidR="00D11D25" w:rsidRDefault="00D11D25">
      <w:pPr>
        <w:pStyle w:val="10"/>
        <w:tabs>
          <w:tab w:val="left" w:pos="1282"/>
        </w:tabs>
        <w:spacing w:before="120" w:after="120"/>
        <w:rPr>
          <w:rFonts w:asciiTheme="minorHAnsi" w:hAnsiTheme="minorHAnsi" w:cstheme="minorBidi"/>
          <w:b w:val="0"/>
          <w:bCs w:val="0"/>
          <w:i w:val="0"/>
          <w:iCs w:val="0"/>
          <w:noProof/>
          <w:sz w:val="21"/>
          <w:szCs w:val="22"/>
        </w:rPr>
      </w:pPr>
      <w:r>
        <w:fldChar w:fldCharType="begin"/>
      </w:r>
      <w:r>
        <w:instrText>TOC \n  \t "YJ-Proposal,1,sub-proposal,2,3rd level proposal,3" \h</w:instrText>
      </w:r>
      <w:r>
        <w:fldChar w:fldCharType="separate"/>
      </w:r>
      <w:hyperlink w:anchor="_Toc68678816" w:history="1">
        <w:r w:rsidRPr="00DD57D6">
          <w:rPr>
            <w:rStyle w:val="ac"/>
            <w:rFonts w:eastAsia="宋体"/>
            <w:noProof/>
          </w:rPr>
          <w:t>Proposal 1:</w:t>
        </w:r>
        <w:r>
          <w:rPr>
            <w:rFonts w:asciiTheme="minorHAnsi" w:hAnsiTheme="minorHAnsi" w:cstheme="minorBidi"/>
            <w:b w:val="0"/>
            <w:bCs w:val="0"/>
            <w:i w:val="0"/>
            <w:iCs w:val="0"/>
            <w:noProof/>
            <w:sz w:val="21"/>
            <w:szCs w:val="22"/>
          </w:rPr>
          <w:tab/>
        </w:r>
        <w:r w:rsidRPr="00DD57D6">
          <w:rPr>
            <w:rStyle w:val="ac"/>
            <w:noProof/>
          </w:rPr>
          <w:t xml:space="preserve">At least to support FDM within a carrier in FR2, </w:t>
        </w:r>
        <w:r w:rsidRPr="00DD57D6">
          <w:rPr>
            <w:rStyle w:val="ac"/>
            <w:rFonts w:eastAsia="Calibri" w:cs="Times"/>
            <w:noProof/>
          </w:rPr>
          <w:t>the extension of the semi-static DU resource type indication to frequency-domain resources</w:t>
        </w:r>
        <w:r w:rsidRPr="00DD57D6">
          <w:rPr>
            <w:rStyle w:val="ac"/>
            <w:noProof/>
          </w:rPr>
          <w:t xml:space="preserve"> is supported.</w:t>
        </w:r>
      </w:hyperlink>
    </w:p>
    <w:p w:rsidR="00D11D25" w:rsidRDefault="00D11D25">
      <w:pPr>
        <w:pStyle w:val="10"/>
        <w:tabs>
          <w:tab w:val="left" w:pos="1282"/>
        </w:tabs>
        <w:spacing w:before="120" w:after="120"/>
        <w:rPr>
          <w:rFonts w:asciiTheme="minorHAnsi" w:hAnsiTheme="minorHAnsi" w:cstheme="minorBidi"/>
          <w:b w:val="0"/>
          <w:bCs w:val="0"/>
          <w:i w:val="0"/>
          <w:iCs w:val="0"/>
          <w:noProof/>
          <w:sz w:val="21"/>
          <w:szCs w:val="22"/>
        </w:rPr>
      </w:pPr>
      <w:hyperlink w:anchor="_Toc68678817" w:history="1">
        <w:r w:rsidRPr="00DD57D6">
          <w:rPr>
            <w:rStyle w:val="ac"/>
            <w:rFonts w:eastAsia="宋体"/>
            <w:noProof/>
          </w:rPr>
          <w:t>Proposal 2:</w:t>
        </w:r>
        <w:r>
          <w:rPr>
            <w:rFonts w:asciiTheme="minorHAnsi" w:hAnsiTheme="minorHAnsi" w:cstheme="minorBidi"/>
            <w:b w:val="0"/>
            <w:bCs w:val="0"/>
            <w:i w:val="0"/>
            <w:iCs w:val="0"/>
            <w:noProof/>
            <w:sz w:val="21"/>
            <w:szCs w:val="22"/>
          </w:rPr>
          <w:tab/>
        </w:r>
        <w:r w:rsidRPr="00DD57D6">
          <w:rPr>
            <w:rStyle w:val="ac"/>
            <w:noProof/>
          </w:rPr>
          <w:t>For resource configuration in frequency domain for DU, the following types of frequency resources could be configured for a set of N RBs of a IAB-DU cell:</w:t>
        </w:r>
      </w:hyperlink>
    </w:p>
    <w:p w:rsidR="00D11D25" w:rsidRDefault="00D11D25">
      <w:pPr>
        <w:pStyle w:val="20"/>
        <w:tabs>
          <w:tab w:val="left" w:pos="862"/>
        </w:tabs>
        <w:spacing w:before="120" w:after="120"/>
        <w:ind w:left="822" w:hanging="402"/>
        <w:rPr>
          <w:rFonts w:asciiTheme="minorHAnsi" w:eastAsiaTheme="minorEastAsia" w:hAnsiTheme="minorHAnsi" w:cstheme="minorBidi"/>
          <w:b w:val="0"/>
          <w:i w:val="0"/>
          <w:noProof/>
          <w:sz w:val="21"/>
          <w:szCs w:val="22"/>
        </w:rPr>
      </w:pPr>
      <w:hyperlink w:anchor="_Toc68678818" w:history="1">
        <w:r w:rsidRPr="00DD57D6">
          <w:rPr>
            <w:rStyle w:val="ac"/>
            <w:rFonts w:ascii="Arial" w:hAnsi="Arial" w:cs="Arial"/>
            <w:noProof/>
          </w:rPr>
          <w:t>•</w:t>
        </w:r>
        <w:r>
          <w:rPr>
            <w:rFonts w:asciiTheme="minorHAnsi" w:eastAsiaTheme="minorEastAsia" w:hAnsiTheme="minorHAnsi" w:cstheme="minorBidi"/>
            <w:b w:val="0"/>
            <w:i w:val="0"/>
            <w:noProof/>
            <w:sz w:val="21"/>
            <w:szCs w:val="22"/>
          </w:rPr>
          <w:tab/>
        </w:r>
        <w:r w:rsidRPr="00DD57D6">
          <w:rPr>
            <w:rStyle w:val="ac"/>
            <w:noProof/>
          </w:rPr>
          <w:t>Hard: The corresponding frequency resource is available for the IAB-DU</w:t>
        </w:r>
      </w:hyperlink>
    </w:p>
    <w:p w:rsidR="00D11D25" w:rsidRDefault="00D11D25">
      <w:pPr>
        <w:pStyle w:val="20"/>
        <w:tabs>
          <w:tab w:val="left" w:pos="862"/>
        </w:tabs>
        <w:spacing w:before="120" w:after="120"/>
        <w:ind w:left="822" w:hanging="402"/>
        <w:rPr>
          <w:rFonts w:asciiTheme="minorHAnsi" w:eastAsiaTheme="minorEastAsia" w:hAnsiTheme="minorHAnsi" w:cstheme="minorBidi"/>
          <w:b w:val="0"/>
          <w:i w:val="0"/>
          <w:noProof/>
          <w:sz w:val="21"/>
          <w:szCs w:val="22"/>
        </w:rPr>
      </w:pPr>
      <w:hyperlink w:anchor="_Toc68678819" w:history="1">
        <w:r w:rsidRPr="00DD57D6">
          <w:rPr>
            <w:rStyle w:val="ac"/>
            <w:rFonts w:ascii="Arial" w:hAnsi="Arial" w:cs="Arial"/>
            <w:noProof/>
          </w:rPr>
          <w:t>•</w:t>
        </w:r>
        <w:r>
          <w:rPr>
            <w:rFonts w:asciiTheme="minorHAnsi" w:eastAsiaTheme="minorEastAsia" w:hAnsiTheme="minorHAnsi" w:cstheme="minorBidi"/>
            <w:b w:val="0"/>
            <w:i w:val="0"/>
            <w:noProof/>
            <w:sz w:val="21"/>
            <w:szCs w:val="22"/>
          </w:rPr>
          <w:tab/>
        </w:r>
        <w:r w:rsidRPr="00DD57D6">
          <w:rPr>
            <w:rStyle w:val="ac"/>
            <w:noProof/>
          </w:rPr>
          <w:t>NA: The corresponding frequency resource is not available for the IAB-DU</w:t>
        </w:r>
      </w:hyperlink>
    </w:p>
    <w:p w:rsidR="00D11D25" w:rsidRDefault="00D11D25">
      <w:pPr>
        <w:pStyle w:val="10"/>
        <w:tabs>
          <w:tab w:val="left" w:pos="1282"/>
        </w:tabs>
        <w:spacing w:before="120" w:after="120"/>
        <w:rPr>
          <w:rFonts w:asciiTheme="minorHAnsi" w:hAnsiTheme="minorHAnsi" w:cstheme="minorBidi"/>
          <w:b w:val="0"/>
          <w:bCs w:val="0"/>
          <w:i w:val="0"/>
          <w:iCs w:val="0"/>
          <w:noProof/>
          <w:sz w:val="21"/>
          <w:szCs w:val="22"/>
        </w:rPr>
      </w:pPr>
      <w:hyperlink w:anchor="_Toc68678820" w:history="1">
        <w:r w:rsidRPr="00DD57D6">
          <w:rPr>
            <w:rStyle w:val="ac"/>
            <w:rFonts w:eastAsia="宋体"/>
            <w:noProof/>
          </w:rPr>
          <w:t>Proposal 3:</w:t>
        </w:r>
        <w:r>
          <w:rPr>
            <w:rFonts w:asciiTheme="minorHAnsi" w:hAnsiTheme="minorHAnsi" w:cstheme="minorBidi"/>
            <w:b w:val="0"/>
            <w:bCs w:val="0"/>
            <w:i w:val="0"/>
            <w:iCs w:val="0"/>
            <w:noProof/>
            <w:sz w:val="21"/>
            <w:szCs w:val="22"/>
          </w:rPr>
          <w:tab/>
        </w:r>
        <w:r w:rsidRPr="00DD57D6">
          <w:rPr>
            <w:rStyle w:val="ac"/>
            <w:noProof/>
          </w:rPr>
          <w:t>Enhancements for DCI format 2_5 to support dynamic indication of availability for soft frequency resources are not supported.</w:t>
        </w:r>
      </w:hyperlink>
    </w:p>
    <w:p w:rsidR="00D11D25" w:rsidRDefault="00D11D25">
      <w:pPr>
        <w:pStyle w:val="10"/>
        <w:tabs>
          <w:tab w:val="left" w:pos="1282"/>
        </w:tabs>
        <w:spacing w:before="120" w:after="120"/>
        <w:rPr>
          <w:rFonts w:asciiTheme="minorHAnsi" w:hAnsiTheme="minorHAnsi" w:cstheme="minorBidi"/>
          <w:b w:val="0"/>
          <w:bCs w:val="0"/>
          <w:i w:val="0"/>
          <w:iCs w:val="0"/>
          <w:noProof/>
          <w:sz w:val="21"/>
          <w:szCs w:val="22"/>
        </w:rPr>
      </w:pPr>
      <w:hyperlink w:anchor="_Toc68678821" w:history="1">
        <w:r w:rsidRPr="00DD57D6">
          <w:rPr>
            <w:rStyle w:val="ac"/>
            <w:rFonts w:eastAsia="宋体"/>
            <w:noProof/>
          </w:rPr>
          <w:t>Proposal 4:</w:t>
        </w:r>
        <w:r>
          <w:rPr>
            <w:rFonts w:asciiTheme="minorHAnsi" w:hAnsiTheme="minorHAnsi" w:cstheme="minorBidi"/>
            <w:b w:val="0"/>
            <w:bCs w:val="0"/>
            <w:i w:val="0"/>
            <w:iCs w:val="0"/>
            <w:noProof/>
            <w:sz w:val="21"/>
            <w:szCs w:val="22"/>
          </w:rPr>
          <w:tab/>
        </w:r>
        <w:r w:rsidRPr="00DD57D6">
          <w:rPr>
            <w:rStyle w:val="ac"/>
            <w:noProof/>
          </w:rPr>
          <w:t>Extension of H/S/NA resource indication to the spatial domain is not supported.</w:t>
        </w:r>
      </w:hyperlink>
    </w:p>
    <w:p w:rsidR="00D11D25" w:rsidRDefault="00D11D25">
      <w:pPr>
        <w:pStyle w:val="10"/>
        <w:tabs>
          <w:tab w:val="left" w:pos="1282"/>
        </w:tabs>
        <w:spacing w:before="120" w:after="120"/>
        <w:rPr>
          <w:rFonts w:asciiTheme="minorHAnsi" w:hAnsiTheme="minorHAnsi" w:cstheme="minorBidi"/>
          <w:b w:val="0"/>
          <w:bCs w:val="0"/>
          <w:i w:val="0"/>
          <w:iCs w:val="0"/>
          <w:noProof/>
          <w:sz w:val="21"/>
          <w:szCs w:val="22"/>
        </w:rPr>
      </w:pPr>
      <w:hyperlink w:anchor="_Toc68678822" w:history="1">
        <w:r w:rsidRPr="00DD57D6">
          <w:rPr>
            <w:rStyle w:val="ac"/>
            <w:rFonts w:eastAsia="宋体"/>
            <w:noProof/>
          </w:rPr>
          <w:t>Proposal 5:</w:t>
        </w:r>
        <w:r>
          <w:rPr>
            <w:rFonts w:asciiTheme="minorHAnsi" w:hAnsiTheme="minorHAnsi" w:cstheme="minorBidi"/>
            <w:b w:val="0"/>
            <w:bCs w:val="0"/>
            <w:i w:val="0"/>
            <w:iCs w:val="0"/>
            <w:noProof/>
            <w:sz w:val="21"/>
            <w:szCs w:val="22"/>
          </w:rPr>
          <w:tab/>
        </w:r>
        <w:r w:rsidRPr="00DD57D6">
          <w:rPr>
            <w:rStyle w:val="ac"/>
            <w:noProof/>
          </w:rPr>
          <w:t>To enable simultaneous operation at the IAB node, dynamic indication of beams which will be used by parent backhaul link (e.g. parent node DU Tx beam, IAB-MT Tx beam) can be supported, signaling similar as DCI format 2_0 could be a starting point for such indication.</w:t>
        </w:r>
      </w:hyperlink>
    </w:p>
    <w:p w:rsidR="00D11D25" w:rsidRDefault="00D11D25">
      <w:pPr>
        <w:pStyle w:val="10"/>
        <w:tabs>
          <w:tab w:val="left" w:pos="1282"/>
        </w:tabs>
        <w:spacing w:before="120" w:after="120"/>
        <w:rPr>
          <w:rFonts w:asciiTheme="minorHAnsi" w:hAnsiTheme="minorHAnsi" w:cstheme="minorBidi"/>
          <w:b w:val="0"/>
          <w:bCs w:val="0"/>
          <w:i w:val="0"/>
          <w:iCs w:val="0"/>
          <w:noProof/>
          <w:sz w:val="21"/>
          <w:szCs w:val="22"/>
        </w:rPr>
      </w:pPr>
      <w:hyperlink w:anchor="_Toc68678823" w:history="1">
        <w:r w:rsidRPr="00DD57D6">
          <w:rPr>
            <w:rStyle w:val="ac"/>
            <w:rFonts w:eastAsia="宋体"/>
            <w:noProof/>
          </w:rPr>
          <w:t>Proposal 6:</w:t>
        </w:r>
        <w:r>
          <w:rPr>
            <w:rFonts w:asciiTheme="minorHAnsi" w:hAnsiTheme="minorHAnsi" w:cstheme="minorBidi"/>
            <w:b w:val="0"/>
            <w:bCs w:val="0"/>
            <w:i w:val="0"/>
            <w:iCs w:val="0"/>
            <w:noProof/>
            <w:sz w:val="21"/>
            <w:szCs w:val="22"/>
          </w:rPr>
          <w:tab/>
        </w:r>
        <w:r w:rsidRPr="00DD57D6">
          <w:rPr>
            <w:rStyle w:val="ac"/>
            <w:rFonts w:cs="Times"/>
            <w:noProof/>
          </w:rPr>
          <w:t xml:space="preserve">Dynamic resource coordination between parent nodes </w:t>
        </w:r>
        <w:r w:rsidRPr="00DD57D6">
          <w:rPr>
            <w:rStyle w:val="ac"/>
            <w:noProof/>
          </w:rPr>
          <w:t>is not supported</w:t>
        </w:r>
        <w:r w:rsidRPr="00DD57D6">
          <w:rPr>
            <w:rStyle w:val="ac"/>
            <w:rFonts w:cs="Times"/>
            <w:noProof/>
          </w:rPr>
          <w:t>.</w:t>
        </w:r>
      </w:hyperlink>
    </w:p>
    <w:p w:rsidR="00D11D25" w:rsidRDefault="00D11D25">
      <w:pPr>
        <w:pStyle w:val="10"/>
        <w:tabs>
          <w:tab w:val="left" w:pos="1282"/>
        </w:tabs>
        <w:spacing w:before="120" w:after="120"/>
        <w:rPr>
          <w:rFonts w:asciiTheme="minorHAnsi" w:hAnsiTheme="minorHAnsi" w:cstheme="minorBidi"/>
          <w:b w:val="0"/>
          <w:bCs w:val="0"/>
          <w:i w:val="0"/>
          <w:iCs w:val="0"/>
          <w:noProof/>
          <w:sz w:val="21"/>
          <w:szCs w:val="22"/>
        </w:rPr>
      </w:pPr>
      <w:hyperlink w:anchor="_Toc68678824" w:history="1">
        <w:r w:rsidRPr="00DD57D6">
          <w:rPr>
            <w:rStyle w:val="ac"/>
            <w:rFonts w:eastAsia="宋体"/>
            <w:noProof/>
          </w:rPr>
          <w:t>Proposal 7:</w:t>
        </w:r>
        <w:r>
          <w:rPr>
            <w:rFonts w:asciiTheme="minorHAnsi" w:hAnsiTheme="minorHAnsi" w:cstheme="minorBidi"/>
            <w:b w:val="0"/>
            <w:bCs w:val="0"/>
            <w:i w:val="0"/>
            <w:iCs w:val="0"/>
            <w:noProof/>
            <w:sz w:val="21"/>
            <w:szCs w:val="22"/>
          </w:rPr>
          <w:tab/>
        </w:r>
        <w:r w:rsidRPr="00DD57D6">
          <w:rPr>
            <w:rStyle w:val="ac"/>
            <w:noProof/>
          </w:rPr>
          <w:t xml:space="preserve">Just one </w:t>
        </w:r>
        <w:r w:rsidRPr="00DD57D6">
          <w:rPr>
            <w:rStyle w:val="ac"/>
            <w:rFonts w:cs="Times"/>
            <w:noProof/>
          </w:rPr>
          <w:t>resource availability indication either from MCG or from SCG is expected for a IAB-DU soft symbol of a IAB DU cell.</w:t>
        </w:r>
      </w:hyperlink>
      <w:bookmarkStart w:id="31" w:name="_GoBack"/>
      <w:bookmarkEnd w:id="31"/>
    </w:p>
    <w:p w:rsidR="00D11D25" w:rsidRDefault="00D11D25">
      <w:pPr>
        <w:pStyle w:val="10"/>
        <w:tabs>
          <w:tab w:val="left" w:pos="1282"/>
        </w:tabs>
        <w:spacing w:before="120" w:after="120"/>
        <w:rPr>
          <w:rFonts w:asciiTheme="minorHAnsi" w:hAnsiTheme="minorHAnsi" w:cstheme="minorBidi"/>
          <w:b w:val="0"/>
          <w:bCs w:val="0"/>
          <w:i w:val="0"/>
          <w:iCs w:val="0"/>
          <w:noProof/>
          <w:sz w:val="21"/>
          <w:szCs w:val="22"/>
        </w:rPr>
      </w:pPr>
      <w:hyperlink w:anchor="_Toc68678825" w:history="1">
        <w:r w:rsidRPr="00DD57D6">
          <w:rPr>
            <w:rStyle w:val="ac"/>
            <w:rFonts w:eastAsia="宋体"/>
            <w:noProof/>
          </w:rPr>
          <w:t>Proposal 8:</w:t>
        </w:r>
        <w:r>
          <w:rPr>
            <w:rFonts w:asciiTheme="minorHAnsi" w:hAnsiTheme="minorHAnsi" w:cstheme="minorBidi"/>
            <w:b w:val="0"/>
            <w:bCs w:val="0"/>
            <w:i w:val="0"/>
            <w:iCs w:val="0"/>
            <w:noProof/>
            <w:sz w:val="21"/>
            <w:szCs w:val="22"/>
          </w:rPr>
          <w:tab/>
        </w:r>
        <w:r w:rsidRPr="00DD57D6">
          <w:rPr>
            <w:rStyle w:val="ac"/>
            <w:noProof/>
          </w:rPr>
          <w:t>For scheduling collision between two parent DUs due to indication of the slot format by DCI format 2_0, it can be handled by DU implementation.</w:t>
        </w:r>
      </w:hyperlink>
    </w:p>
    <w:p w:rsidR="00D11D25" w:rsidRDefault="00D11D25">
      <w:pPr>
        <w:pStyle w:val="10"/>
        <w:tabs>
          <w:tab w:val="left" w:pos="1282"/>
        </w:tabs>
        <w:spacing w:before="120" w:after="120"/>
        <w:rPr>
          <w:rFonts w:asciiTheme="minorHAnsi" w:hAnsiTheme="minorHAnsi" w:cstheme="minorBidi"/>
          <w:b w:val="0"/>
          <w:bCs w:val="0"/>
          <w:i w:val="0"/>
          <w:iCs w:val="0"/>
          <w:noProof/>
          <w:sz w:val="21"/>
          <w:szCs w:val="22"/>
        </w:rPr>
      </w:pPr>
      <w:hyperlink w:anchor="_Toc68678826" w:history="1">
        <w:r w:rsidRPr="00DD57D6">
          <w:rPr>
            <w:rStyle w:val="ac"/>
            <w:rFonts w:eastAsia="宋体"/>
            <w:noProof/>
          </w:rPr>
          <w:t>Proposal 9:</w:t>
        </w:r>
        <w:r>
          <w:rPr>
            <w:rFonts w:asciiTheme="minorHAnsi" w:hAnsiTheme="minorHAnsi" w:cstheme="minorBidi"/>
            <w:b w:val="0"/>
            <w:bCs w:val="0"/>
            <w:i w:val="0"/>
            <w:iCs w:val="0"/>
            <w:noProof/>
            <w:sz w:val="21"/>
            <w:szCs w:val="22"/>
          </w:rPr>
          <w:tab/>
        </w:r>
        <w:r w:rsidRPr="00DD57D6">
          <w:rPr>
            <w:rStyle w:val="ac"/>
            <w:rFonts w:cs="Times"/>
            <w:noProof/>
          </w:rPr>
          <w:t>From RAN1 perspective, both intra-donor and inter-donor multi-parent scenarios can be supported within a common framework.</w:t>
        </w:r>
      </w:hyperlink>
    </w:p>
    <w:p w:rsidR="00092374" w:rsidRDefault="00D11D25">
      <w:pPr>
        <w:spacing w:before="120" w:after="120"/>
      </w:pPr>
      <w:r>
        <w:fldChar w:fldCharType="end"/>
      </w:r>
    </w:p>
    <w:p w:rsidR="00092374" w:rsidRDefault="00D11D25">
      <w:pPr>
        <w:pStyle w:val="1"/>
        <w:spacing w:before="120" w:after="120"/>
        <w:ind w:left="0"/>
        <w:rPr>
          <w:rFonts w:eastAsia="宋体"/>
        </w:rPr>
      </w:pPr>
      <w:r>
        <w:rPr>
          <w:rFonts w:eastAsia="宋体" w:hint="eastAsia"/>
        </w:rPr>
        <w:t>Reference</w:t>
      </w:r>
      <w:r>
        <w:rPr>
          <w:rFonts w:eastAsia="宋体"/>
        </w:rPr>
        <w:t>s</w:t>
      </w:r>
    </w:p>
    <w:p w:rsidR="00092374" w:rsidRDefault="00D11D25">
      <w:pPr>
        <w:pStyle w:val="References"/>
        <w:spacing w:before="120" w:after="120"/>
        <w:ind w:left="0" w:firstLine="0"/>
        <w:rPr>
          <w:sz w:val="20"/>
          <w:szCs w:val="20"/>
        </w:rPr>
      </w:pPr>
      <w:bookmarkStart w:id="32" w:name="_Ref6480"/>
      <w:bookmarkStart w:id="33" w:name="_Ref16505925"/>
      <w:bookmarkStart w:id="34" w:name="_Ref17466"/>
      <w:r>
        <w:rPr>
          <w:bCs/>
          <w:sz w:val="20"/>
          <w:szCs w:val="20"/>
        </w:rPr>
        <w:t>Chairman's Notes RAN1#10</w:t>
      </w:r>
      <w:r>
        <w:rPr>
          <w:rFonts w:hint="eastAsia"/>
          <w:bCs/>
          <w:sz w:val="20"/>
          <w:szCs w:val="20"/>
        </w:rPr>
        <w:t>4</w:t>
      </w:r>
      <w:r>
        <w:rPr>
          <w:bCs/>
          <w:sz w:val="20"/>
          <w:szCs w:val="20"/>
        </w:rPr>
        <w:t>-e final</w:t>
      </w:r>
    </w:p>
    <w:bookmarkEnd w:id="32"/>
    <w:bookmarkEnd w:id="33"/>
    <w:p w:rsidR="00092374" w:rsidRDefault="00D11D25">
      <w:pPr>
        <w:pStyle w:val="References"/>
        <w:spacing w:before="120" w:after="120"/>
        <w:ind w:left="0" w:firstLine="0"/>
        <w:rPr>
          <w:sz w:val="20"/>
          <w:szCs w:val="20"/>
        </w:rPr>
      </w:pPr>
      <w:r>
        <w:rPr>
          <w:bCs/>
          <w:sz w:val="20"/>
          <w:szCs w:val="20"/>
        </w:rPr>
        <w:t>RP-2</w:t>
      </w:r>
      <w:r>
        <w:rPr>
          <w:sz w:val="20"/>
          <w:szCs w:val="20"/>
        </w:rPr>
        <w:t xml:space="preserve">01293, New WID on Enhancements to Integrated Access </w:t>
      </w:r>
      <w:r>
        <w:rPr>
          <w:sz w:val="20"/>
          <w:szCs w:val="20"/>
        </w:rPr>
        <w:t>and Backhaul, Qualcomm</w:t>
      </w:r>
    </w:p>
    <w:bookmarkEnd w:id="34"/>
    <w:p w:rsidR="00092374" w:rsidRDefault="00092374">
      <w:pPr>
        <w:spacing w:beforeLines="0" w:afterLines="0"/>
        <w:jc w:val="left"/>
      </w:pPr>
    </w:p>
    <w:sectPr w:rsidR="00092374">
      <w:headerReference w:type="even" r:id="rId8"/>
      <w:headerReference w:type="default" r:id="rId9"/>
      <w:footerReference w:type="even" r:id="rId10"/>
      <w:footerReference w:type="default" r:id="rId11"/>
      <w:headerReference w:type="first" r:id="rId12"/>
      <w:footerReference w:type="first" r:id="rId13"/>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0000" w:rsidRDefault="00D11D25">
      <w:pPr>
        <w:spacing w:before="120" w:after="120"/>
      </w:pPr>
      <w:r>
        <w:separator/>
      </w:r>
    </w:p>
  </w:endnote>
  <w:endnote w:type="continuationSeparator" w:id="0">
    <w:p w:rsidR="00000000" w:rsidRDefault="00D11D25">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w:altName w:val="Times New Roman"/>
    <w:panose1 w:val="02020603050405020304"/>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2374" w:rsidRDefault="00092374">
    <w:pPr>
      <w:pStyle w:val="a6"/>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2374" w:rsidRDefault="00D11D25">
    <w:pPr>
      <w:pStyle w:val="a6"/>
      <w:spacing w:before="120" w:after="120"/>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rsidR="00092374" w:rsidRDefault="00D11D25">
                          <w:pPr>
                            <w:pStyle w:val="a6"/>
                            <w:spacing w:before="120" w:after="120"/>
                          </w:pPr>
                          <w:r>
                            <w:rPr>
                              <w:rFonts w:hint="eastAsia"/>
                            </w:rPr>
                            <w:fldChar w:fldCharType="begin"/>
                          </w:r>
                          <w:r>
                            <w:rPr>
                              <w:rFonts w:hint="eastAsia"/>
                            </w:rPr>
                            <w:instrText xml:space="preserve"> PAGE  \* MERGEFORMAT </w:instrText>
                          </w:r>
                          <w:r>
                            <w:rPr>
                              <w:rFonts w:hint="eastAsia"/>
                            </w:rPr>
                            <w:fldChar w:fldCharType="separate"/>
                          </w:r>
                          <w:r>
                            <w:rPr>
                              <w:noProof/>
                            </w:rPr>
                            <w:t>6</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" filled="f" stroked="f" strokeweight=".5pt">
              <v:textbox style="mso-fit-shape-to-text:t" inset="0,0,0,0">
                <w:txbxContent>
                  <w:p w:rsidR="00092374" w:rsidRDefault="00D11D25">
                    <w:pPr>
                      <w:pStyle w:val="a6"/>
                      <w:spacing w:before="120" w:after="120"/>
                    </w:pPr>
                    <w:r>
                      <w:rPr>
                        <w:rFonts w:hint="eastAsia"/>
                      </w:rPr>
                      <w:fldChar w:fldCharType="begin"/>
                    </w:r>
                    <w:r>
                      <w:rPr>
                        <w:rFonts w:hint="eastAsia"/>
                      </w:rPr>
                      <w:instrText xml:space="preserve"> PAGE  \* MERGEFORMAT </w:instrText>
                    </w:r>
                    <w:r>
                      <w:rPr>
                        <w:rFonts w:hint="eastAsia"/>
                      </w:rPr>
                      <w:fldChar w:fldCharType="separate"/>
                    </w:r>
                    <w:r>
                      <w:rPr>
                        <w:noProof/>
                      </w:rPr>
                      <w:t>6</w:t>
                    </w:r>
                    <w:r>
                      <w:rPr>
                        <w:rFonts w:hint="eastAsia"/>
                      </w:rPr>
                      <w:fldChar w:fldCharType="end"/>
                    </w:r>
                  </w:p>
                </w:txbxContent>
              </v:textbox>
              <w10:wrap anchorx="margin"/>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2374" w:rsidRDefault="00092374">
    <w:pPr>
      <w:pStyle w:val="a6"/>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0000" w:rsidRDefault="00D11D25">
      <w:pPr>
        <w:spacing w:before="120" w:after="120"/>
      </w:pPr>
      <w:r>
        <w:separator/>
      </w:r>
    </w:p>
  </w:footnote>
  <w:footnote w:type="continuationSeparator" w:id="0">
    <w:p w:rsidR="00000000" w:rsidRDefault="00D11D25">
      <w:pPr>
        <w:spacing w:before="120"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2374" w:rsidRDefault="00092374">
    <w:pPr>
      <w:pStyle w:val="a7"/>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2374" w:rsidRDefault="00092374">
    <w:pPr>
      <w:pStyle w:val="a7"/>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2374" w:rsidRDefault="00092374">
    <w:pPr>
      <w:pStyle w:val="a7"/>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rPr>
    </w:lvl>
  </w:abstractNum>
  <w:abstractNum w:abstractNumId="1">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2">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nsid w:val="0BDD5F2B"/>
    <w:multiLevelType w:val="multilevel"/>
    <w:tmpl w:val="0BDD5F2B"/>
    <w:lvl w:ilvl="0">
      <w:start w:val="1"/>
      <w:numFmt w:val="decimal"/>
      <w:pStyle w:val="1"/>
      <w:suff w:val="nothing"/>
      <w:lvlText w:val="%1  "/>
      <w:lvlJc w:val="left"/>
      <w:pPr>
        <w:ind w:left="4962" w:firstLine="0"/>
      </w:pPr>
      <w:rPr>
        <w:rFonts w:ascii="Arial" w:eastAsia="黑体" w:hAnsi="Arial" w:hint="default"/>
        <w:b w:val="0"/>
        <w:i w:val="0"/>
        <w:sz w:val="36"/>
        <w:szCs w:val="36"/>
        <w:lang w:val="en-US"/>
      </w:rPr>
    </w:lvl>
    <w:lvl w:ilvl="1">
      <w:start w:val="1"/>
      <w:numFmt w:val="decimal"/>
      <w:pStyle w:val="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4">
    <w:nsid w:val="32E2556C"/>
    <w:multiLevelType w:val="multilevel"/>
    <w:tmpl w:val="32E2556C"/>
    <w:lvl w:ilvl="0">
      <w:start w:val="8"/>
      <w:numFmt w:val="bullet"/>
      <w:lvlText w:val="-"/>
      <w:lvlJc w:val="left"/>
      <w:pPr>
        <w:ind w:left="720" w:hanging="360"/>
      </w:pPr>
      <w:rPr>
        <w:rFonts w:ascii="Calibri" w:eastAsia="Calibri" w:hAnsi="Calibri" w:cs="Calibri"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7">
    <w:nsid w:val="73E1BD85"/>
    <w:multiLevelType w:val="multilevel"/>
    <w:tmpl w:val="73E1BD85"/>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8">
    <w:nsid w:val="7C55098C"/>
    <w:multiLevelType w:val="multilevel"/>
    <w:tmpl w:val="7C5509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3"/>
  </w:num>
  <w:num w:numId="2">
    <w:abstractNumId w:val="0"/>
  </w:num>
  <w:num w:numId="3">
    <w:abstractNumId w:val="2"/>
  </w:num>
  <w:num w:numId="4">
    <w:abstractNumId w:val="9"/>
  </w:num>
  <w:num w:numId="5">
    <w:abstractNumId w:val="1"/>
  </w:num>
  <w:num w:numId="6">
    <w:abstractNumId w:val="6"/>
  </w:num>
  <w:num w:numId="7">
    <w:abstractNumId w:val="5"/>
  </w:num>
  <w:num w:numId="8">
    <w:abstractNumId w:val="4"/>
  </w:num>
  <w:num w:numId="9">
    <w:abstractNumId w:val="8"/>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420"/>
  <w:drawingGridHorizontalSpacing w:val="120"/>
  <w:drawingGridVerticalSpacing w:val="120"/>
  <w:displayHorizontalDrawingGridEvery w:val="3"/>
  <w:displayVerticalDrawingGridEvery w:val="3"/>
  <w:doNotUseMarginsForDrawingGridOrigin/>
  <w:drawingGridHorizontalOrigin w:val="1800"/>
  <w:drawingGridVerticalOrigin w:val="1440"/>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92374"/>
    <w:rsid w:val="00101583"/>
    <w:rsid w:val="00131276"/>
    <w:rsid w:val="001328F6"/>
    <w:rsid w:val="001438ED"/>
    <w:rsid w:val="00172A27"/>
    <w:rsid w:val="00195A3C"/>
    <w:rsid w:val="00213BB6"/>
    <w:rsid w:val="00260149"/>
    <w:rsid w:val="003270E2"/>
    <w:rsid w:val="0037726C"/>
    <w:rsid w:val="00383A4D"/>
    <w:rsid w:val="004209E3"/>
    <w:rsid w:val="00463C47"/>
    <w:rsid w:val="004B042F"/>
    <w:rsid w:val="004B0544"/>
    <w:rsid w:val="00524B78"/>
    <w:rsid w:val="005B065E"/>
    <w:rsid w:val="00775067"/>
    <w:rsid w:val="00830169"/>
    <w:rsid w:val="00897D1C"/>
    <w:rsid w:val="0095154E"/>
    <w:rsid w:val="0096044C"/>
    <w:rsid w:val="009B66B6"/>
    <w:rsid w:val="00A03342"/>
    <w:rsid w:val="00AE40F2"/>
    <w:rsid w:val="00BF060B"/>
    <w:rsid w:val="00C6793D"/>
    <w:rsid w:val="00CA568F"/>
    <w:rsid w:val="00CB5143"/>
    <w:rsid w:val="00D11D25"/>
    <w:rsid w:val="00D17949"/>
    <w:rsid w:val="00D26197"/>
    <w:rsid w:val="00D6168B"/>
    <w:rsid w:val="00DA4B6A"/>
    <w:rsid w:val="00EB4EC5"/>
    <w:rsid w:val="00EB4F8D"/>
    <w:rsid w:val="00FC22D6"/>
    <w:rsid w:val="00FD2DE4"/>
    <w:rsid w:val="00FE3CF1"/>
    <w:rsid w:val="0175416B"/>
    <w:rsid w:val="01764F01"/>
    <w:rsid w:val="01A87802"/>
    <w:rsid w:val="01CC3E95"/>
    <w:rsid w:val="0207518B"/>
    <w:rsid w:val="024D6B6A"/>
    <w:rsid w:val="029B04E7"/>
    <w:rsid w:val="029C6023"/>
    <w:rsid w:val="02D802A1"/>
    <w:rsid w:val="03073BDC"/>
    <w:rsid w:val="033B7557"/>
    <w:rsid w:val="033F44DC"/>
    <w:rsid w:val="04C41AB9"/>
    <w:rsid w:val="04E00EC8"/>
    <w:rsid w:val="05051EF1"/>
    <w:rsid w:val="0555228E"/>
    <w:rsid w:val="059D1E39"/>
    <w:rsid w:val="05E078B3"/>
    <w:rsid w:val="066A15C2"/>
    <w:rsid w:val="06DD5C75"/>
    <w:rsid w:val="076D396F"/>
    <w:rsid w:val="077D0583"/>
    <w:rsid w:val="079724D0"/>
    <w:rsid w:val="082A352F"/>
    <w:rsid w:val="08C349D1"/>
    <w:rsid w:val="08DB22C6"/>
    <w:rsid w:val="08E16393"/>
    <w:rsid w:val="08EA763A"/>
    <w:rsid w:val="08F84F59"/>
    <w:rsid w:val="091D58A2"/>
    <w:rsid w:val="09A177D3"/>
    <w:rsid w:val="09DD707B"/>
    <w:rsid w:val="09DD70CA"/>
    <w:rsid w:val="09F67CD5"/>
    <w:rsid w:val="0A5B01BE"/>
    <w:rsid w:val="0A797C30"/>
    <w:rsid w:val="0A850856"/>
    <w:rsid w:val="0A98567D"/>
    <w:rsid w:val="0B46017D"/>
    <w:rsid w:val="0B83577C"/>
    <w:rsid w:val="0B8723DA"/>
    <w:rsid w:val="0B9E71DF"/>
    <w:rsid w:val="0BB20D48"/>
    <w:rsid w:val="0C2513DB"/>
    <w:rsid w:val="0C2F6748"/>
    <w:rsid w:val="0C6E0333"/>
    <w:rsid w:val="0C9D30C2"/>
    <w:rsid w:val="0CC0539E"/>
    <w:rsid w:val="0D202AB9"/>
    <w:rsid w:val="0D9D65F4"/>
    <w:rsid w:val="0E172BD0"/>
    <w:rsid w:val="0E173D9D"/>
    <w:rsid w:val="0E8B1A63"/>
    <w:rsid w:val="0EC915C0"/>
    <w:rsid w:val="0FC52562"/>
    <w:rsid w:val="0FE43E40"/>
    <w:rsid w:val="10481210"/>
    <w:rsid w:val="10A50104"/>
    <w:rsid w:val="11122A47"/>
    <w:rsid w:val="115B3410"/>
    <w:rsid w:val="11757502"/>
    <w:rsid w:val="119D7849"/>
    <w:rsid w:val="11D32C40"/>
    <w:rsid w:val="11D46DD9"/>
    <w:rsid w:val="1242135C"/>
    <w:rsid w:val="124D1560"/>
    <w:rsid w:val="12FA7C9A"/>
    <w:rsid w:val="13230953"/>
    <w:rsid w:val="13A1683F"/>
    <w:rsid w:val="13A40BF7"/>
    <w:rsid w:val="143F6ED6"/>
    <w:rsid w:val="14763CB9"/>
    <w:rsid w:val="14DA3DA1"/>
    <w:rsid w:val="15052CF1"/>
    <w:rsid w:val="158B799D"/>
    <w:rsid w:val="159E61DE"/>
    <w:rsid w:val="15A0296E"/>
    <w:rsid w:val="167F0BD3"/>
    <w:rsid w:val="169D643D"/>
    <w:rsid w:val="16C417D5"/>
    <w:rsid w:val="17155857"/>
    <w:rsid w:val="17603A01"/>
    <w:rsid w:val="17950508"/>
    <w:rsid w:val="182A416B"/>
    <w:rsid w:val="188F4114"/>
    <w:rsid w:val="18A02C99"/>
    <w:rsid w:val="18E528E8"/>
    <w:rsid w:val="19010C43"/>
    <w:rsid w:val="19084C73"/>
    <w:rsid w:val="19117A25"/>
    <w:rsid w:val="192665B8"/>
    <w:rsid w:val="194755B1"/>
    <w:rsid w:val="19EA1C79"/>
    <w:rsid w:val="1A054259"/>
    <w:rsid w:val="1A0B1ECE"/>
    <w:rsid w:val="1A3E3FD2"/>
    <w:rsid w:val="1A463AAE"/>
    <w:rsid w:val="1A900408"/>
    <w:rsid w:val="1A92267D"/>
    <w:rsid w:val="1B001645"/>
    <w:rsid w:val="1B3F00A2"/>
    <w:rsid w:val="1B7F6005"/>
    <w:rsid w:val="1C132CB9"/>
    <w:rsid w:val="1CA953F1"/>
    <w:rsid w:val="1CAF30F6"/>
    <w:rsid w:val="1CCC26CA"/>
    <w:rsid w:val="1D1A225E"/>
    <w:rsid w:val="1D5433E7"/>
    <w:rsid w:val="1DA43059"/>
    <w:rsid w:val="1E945211"/>
    <w:rsid w:val="1E9D6342"/>
    <w:rsid w:val="1F474538"/>
    <w:rsid w:val="1F557221"/>
    <w:rsid w:val="1F605CBA"/>
    <w:rsid w:val="204E6676"/>
    <w:rsid w:val="20642183"/>
    <w:rsid w:val="20687056"/>
    <w:rsid w:val="20973200"/>
    <w:rsid w:val="20E736E7"/>
    <w:rsid w:val="212042BB"/>
    <w:rsid w:val="218D690B"/>
    <w:rsid w:val="2195668B"/>
    <w:rsid w:val="21B75A2D"/>
    <w:rsid w:val="21BE5AD4"/>
    <w:rsid w:val="21F75F55"/>
    <w:rsid w:val="221241FE"/>
    <w:rsid w:val="22186699"/>
    <w:rsid w:val="22404957"/>
    <w:rsid w:val="225C4EBE"/>
    <w:rsid w:val="2265730A"/>
    <w:rsid w:val="22717051"/>
    <w:rsid w:val="23081A49"/>
    <w:rsid w:val="234C3925"/>
    <w:rsid w:val="23F864A4"/>
    <w:rsid w:val="24532184"/>
    <w:rsid w:val="245C52F8"/>
    <w:rsid w:val="2463385E"/>
    <w:rsid w:val="24785134"/>
    <w:rsid w:val="249D68EB"/>
    <w:rsid w:val="249E52DD"/>
    <w:rsid w:val="250D568B"/>
    <w:rsid w:val="25134332"/>
    <w:rsid w:val="257E508F"/>
    <w:rsid w:val="260964FD"/>
    <w:rsid w:val="26432F2D"/>
    <w:rsid w:val="268763EA"/>
    <w:rsid w:val="26940F76"/>
    <w:rsid w:val="26BF5712"/>
    <w:rsid w:val="278437C8"/>
    <w:rsid w:val="27AB7429"/>
    <w:rsid w:val="27AF16DA"/>
    <w:rsid w:val="280704EC"/>
    <w:rsid w:val="285C053E"/>
    <w:rsid w:val="29BA23FE"/>
    <w:rsid w:val="29CA425D"/>
    <w:rsid w:val="29D75229"/>
    <w:rsid w:val="29FA7F26"/>
    <w:rsid w:val="2A063193"/>
    <w:rsid w:val="2B0F6EBD"/>
    <w:rsid w:val="2B492BDE"/>
    <w:rsid w:val="2B774832"/>
    <w:rsid w:val="2C095925"/>
    <w:rsid w:val="2C5B2EC9"/>
    <w:rsid w:val="2CC95FCA"/>
    <w:rsid w:val="2CDF4EA7"/>
    <w:rsid w:val="2DDB7390"/>
    <w:rsid w:val="2E0B71A3"/>
    <w:rsid w:val="2E43495E"/>
    <w:rsid w:val="2E565144"/>
    <w:rsid w:val="2EB14206"/>
    <w:rsid w:val="2EF30977"/>
    <w:rsid w:val="2EF95F20"/>
    <w:rsid w:val="2F1251F2"/>
    <w:rsid w:val="2F8116F2"/>
    <w:rsid w:val="2FCB5ADE"/>
    <w:rsid w:val="300566B8"/>
    <w:rsid w:val="30962F3E"/>
    <w:rsid w:val="30BB37E0"/>
    <w:rsid w:val="30D17E68"/>
    <w:rsid w:val="30FF2795"/>
    <w:rsid w:val="312D28B6"/>
    <w:rsid w:val="3152339D"/>
    <w:rsid w:val="318F7EFC"/>
    <w:rsid w:val="31F036E6"/>
    <w:rsid w:val="329A6ACE"/>
    <w:rsid w:val="32C91568"/>
    <w:rsid w:val="3301415B"/>
    <w:rsid w:val="334C1A6F"/>
    <w:rsid w:val="33872D84"/>
    <w:rsid w:val="3394726C"/>
    <w:rsid w:val="33F20E3B"/>
    <w:rsid w:val="33F431B2"/>
    <w:rsid w:val="345D6540"/>
    <w:rsid w:val="3471669F"/>
    <w:rsid w:val="34DE539B"/>
    <w:rsid w:val="35BD0748"/>
    <w:rsid w:val="360B1D73"/>
    <w:rsid w:val="361F3323"/>
    <w:rsid w:val="365353DA"/>
    <w:rsid w:val="36D262F5"/>
    <w:rsid w:val="36E93760"/>
    <w:rsid w:val="37187BEB"/>
    <w:rsid w:val="37222E3D"/>
    <w:rsid w:val="373634F9"/>
    <w:rsid w:val="37716352"/>
    <w:rsid w:val="3784394E"/>
    <w:rsid w:val="38542505"/>
    <w:rsid w:val="388A2DE1"/>
    <w:rsid w:val="38AE3BB0"/>
    <w:rsid w:val="39047288"/>
    <w:rsid w:val="39306F40"/>
    <w:rsid w:val="39D67290"/>
    <w:rsid w:val="3A1131D2"/>
    <w:rsid w:val="3A505E74"/>
    <w:rsid w:val="3A8D1659"/>
    <w:rsid w:val="3A96251C"/>
    <w:rsid w:val="3AA4620D"/>
    <w:rsid w:val="3ACB5746"/>
    <w:rsid w:val="3B3C14D8"/>
    <w:rsid w:val="3BB20883"/>
    <w:rsid w:val="3BF4670E"/>
    <w:rsid w:val="3C751B18"/>
    <w:rsid w:val="3D3C0F91"/>
    <w:rsid w:val="3D53448E"/>
    <w:rsid w:val="3D566E05"/>
    <w:rsid w:val="3D696F2C"/>
    <w:rsid w:val="3DA8275C"/>
    <w:rsid w:val="3DF0568B"/>
    <w:rsid w:val="3E11467C"/>
    <w:rsid w:val="3E123AC8"/>
    <w:rsid w:val="3E420401"/>
    <w:rsid w:val="3E441C7D"/>
    <w:rsid w:val="3E667511"/>
    <w:rsid w:val="3ED25246"/>
    <w:rsid w:val="3F3D0D92"/>
    <w:rsid w:val="3FA661A3"/>
    <w:rsid w:val="3FA70F37"/>
    <w:rsid w:val="3FC04CC5"/>
    <w:rsid w:val="3FC956FF"/>
    <w:rsid w:val="3FD94F77"/>
    <w:rsid w:val="3FEA0478"/>
    <w:rsid w:val="3FEF0C27"/>
    <w:rsid w:val="402220F3"/>
    <w:rsid w:val="40573579"/>
    <w:rsid w:val="40A36A71"/>
    <w:rsid w:val="40E13F25"/>
    <w:rsid w:val="410E4736"/>
    <w:rsid w:val="41235C5C"/>
    <w:rsid w:val="4125142C"/>
    <w:rsid w:val="41A06235"/>
    <w:rsid w:val="41D3631F"/>
    <w:rsid w:val="41F466FD"/>
    <w:rsid w:val="42391C72"/>
    <w:rsid w:val="423D5B37"/>
    <w:rsid w:val="425554D7"/>
    <w:rsid w:val="428B32C7"/>
    <w:rsid w:val="429E7CA8"/>
    <w:rsid w:val="42A67A24"/>
    <w:rsid w:val="42D846B9"/>
    <w:rsid w:val="43AF1FBF"/>
    <w:rsid w:val="43E1138F"/>
    <w:rsid w:val="440D25AB"/>
    <w:rsid w:val="440D5045"/>
    <w:rsid w:val="44911D0E"/>
    <w:rsid w:val="44AA2537"/>
    <w:rsid w:val="44C659AB"/>
    <w:rsid w:val="45385570"/>
    <w:rsid w:val="4550163C"/>
    <w:rsid w:val="45915C76"/>
    <w:rsid w:val="45AC5FA5"/>
    <w:rsid w:val="45B80DC7"/>
    <w:rsid w:val="45BE6191"/>
    <w:rsid w:val="460C5979"/>
    <w:rsid w:val="462F6229"/>
    <w:rsid w:val="46D33878"/>
    <w:rsid w:val="47384688"/>
    <w:rsid w:val="47C01792"/>
    <w:rsid w:val="47C40ECF"/>
    <w:rsid w:val="47E240A3"/>
    <w:rsid w:val="4808150F"/>
    <w:rsid w:val="48962726"/>
    <w:rsid w:val="494F75D4"/>
    <w:rsid w:val="495274AB"/>
    <w:rsid w:val="499943C1"/>
    <w:rsid w:val="49D0193A"/>
    <w:rsid w:val="49E9233D"/>
    <w:rsid w:val="49EA336A"/>
    <w:rsid w:val="4A011123"/>
    <w:rsid w:val="4AAD1944"/>
    <w:rsid w:val="4AC31003"/>
    <w:rsid w:val="4ADC4DC7"/>
    <w:rsid w:val="4AE93159"/>
    <w:rsid w:val="4BD0339A"/>
    <w:rsid w:val="4BD45173"/>
    <w:rsid w:val="4CB30E8A"/>
    <w:rsid w:val="4CDE0BF1"/>
    <w:rsid w:val="4CFA3574"/>
    <w:rsid w:val="4D462159"/>
    <w:rsid w:val="4D5C5FAC"/>
    <w:rsid w:val="4DC605B6"/>
    <w:rsid w:val="4DEC0985"/>
    <w:rsid w:val="4E06555F"/>
    <w:rsid w:val="4E27683A"/>
    <w:rsid w:val="4E60747F"/>
    <w:rsid w:val="4EB263A5"/>
    <w:rsid w:val="4EB80640"/>
    <w:rsid w:val="4F062385"/>
    <w:rsid w:val="4F2765B1"/>
    <w:rsid w:val="4F285975"/>
    <w:rsid w:val="4FBC4859"/>
    <w:rsid w:val="50292DAE"/>
    <w:rsid w:val="504745F9"/>
    <w:rsid w:val="50841662"/>
    <w:rsid w:val="50CC13AC"/>
    <w:rsid w:val="5100265D"/>
    <w:rsid w:val="51796EDE"/>
    <w:rsid w:val="51867298"/>
    <w:rsid w:val="51CE69CD"/>
    <w:rsid w:val="52195EDF"/>
    <w:rsid w:val="52313387"/>
    <w:rsid w:val="52C15317"/>
    <w:rsid w:val="52E04D27"/>
    <w:rsid w:val="52FE706D"/>
    <w:rsid w:val="530E3985"/>
    <w:rsid w:val="532049AA"/>
    <w:rsid w:val="534750B2"/>
    <w:rsid w:val="53561C56"/>
    <w:rsid w:val="537C393E"/>
    <w:rsid w:val="539A390F"/>
    <w:rsid w:val="53DB3477"/>
    <w:rsid w:val="54AF6B42"/>
    <w:rsid w:val="552C6CE5"/>
    <w:rsid w:val="55612587"/>
    <w:rsid w:val="55DD6F2A"/>
    <w:rsid w:val="55EA6FB7"/>
    <w:rsid w:val="56486A48"/>
    <w:rsid w:val="56BA1F35"/>
    <w:rsid w:val="56E23970"/>
    <w:rsid w:val="571238D5"/>
    <w:rsid w:val="575E1504"/>
    <w:rsid w:val="577A3C7D"/>
    <w:rsid w:val="578F220A"/>
    <w:rsid w:val="57FC07D9"/>
    <w:rsid w:val="58500F22"/>
    <w:rsid w:val="58552662"/>
    <w:rsid w:val="58750BBA"/>
    <w:rsid w:val="588B6ED5"/>
    <w:rsid w:val="58D74CE8"/>
    <w:rsid w:val="591C0009"/>
    <w:rsid w:val="59535E11"/>
    <w:rsid w:val="597467AF"/>
    <w:rsid w:val="5A8772BF"/>
    <w:rsid w:val="5ACF0F3A"/>
    <w:rsid w:val="5B544E3B"/>
    <w:rsid w:val="5B967B3B"/>
    <w:rsid w:val="5B9A3CB5"/>
    <w:rsid w:val="5BD956F6"/>
    <w:rsid w:val="5C4C7245"/>
    <w:rsid w:val="5C6B1600"/>
    <w:rsid w:val="5C921AD0"/>
    <w:rsid w:val="5D134559"/>
    <w:rsid w:val="5DF07A97"/>
    <w:rsid w:val="5DFD51DB"/>
    <w:rsid w:val="5E0D36E5"/>
    <w:rsid w:val="5E0E3CD2"/>
    <w:rsid w:val="5ED907FA"/>
    <w:rsid w:val="5F9C1FB9"/>
    <w:rsid w:val="60046FC0"/>
    <w:rsid w:val="600C28B1"/>
    <w:rsid w:val="60290171"/>
    <w:rsid w:val="605B76AF"/>
    <w:rsid w:val="607C3753"/>
    <w:rsid w:val="60C30855"/>
    <w:rsid w:val="60DC11BD"/>
    <w:rsid w:val="611E7A14"/>
    <w:rsid w:val="61421EFD"/>
    <w:rsid w:val="615C5041"/>
    <w:rsid w:val="621606EA"/>
    <w:rsid w:val="631E4ADB"/>
    <w:rsid w:val="63CD5B32"/>
    <w:rsid w:val="644F1BEF"/>
    <w:rsid w:val="64857194"/>
    <w:rsid w:val="648E6735"/>
    <w:rsid w:val="65602229"/>
    <w:rsid w:val="66210E38"/>
    <w:rsid w:val="664805B8"/>
    <w:rsid w:val="669C7ACE"/>
    <w:rsid w:val="66B17833"/>
    <w:rsid w:val="66DE161A"/>
    <w:rsid w:val="671D1C28"/>
    <w:rsid w:val="67861B83"/>
    <w:rsid w:val="68DE1611"/>
    <w:rsid w:val="690F418B"/>
    <w:rsid w:val="6A2068B5"/>
    <w:rsid w:val="6A2558BD"/>
    <w:rsid w:val="6A7A2736"/>
    <w:rsid w:val="6A7B4B9C"/>
    <w:rsid w:val="6AB75DB6"/>
    <w:rsid w:val="6AE24669"/>
    <w:rsid w:val="6C2C6374"/>
    <w:rsid w:val="6C6B2E5D"/>
    <w:rsid w:val="6C706368"/>
    <w:rsid w:val="6C89456C"/>
    <w:rsid w:val="6CD93433"/>
    <w:rsid w:val="6D4E221F"/>
    <w:rsid w:val="6D612F85"/>
    <w:rsid w:val="6D763AB7"/>
    <w:rsid w:val="6EC915AC"/>
    <w:rsid w:val="6F022B15"/>
    <w:rsid w:val="6F2150D5"/>
    <w:rsid w:val="6F8C0982"/>
    <w:rsid w:val="6F901B66"/>
    <w:rsid w:val="6F957829"/>
    <w:rsid w:val="6F971CA9"/>
    <w:rsid w:val="6FA629D4"/>
    <w:rsid w:val="6FD10552"/>
    <w:rsid w:val="704522F9"/>
    <w:rsid w:val="70B90E60"/>
    <w:rsid w:val="70BB2EF0"/>
    <w:rsid w:val="72520A5C"/>
    <w:rsid w:val="72A90FF4"/>
    <w:rsid w:val="72B847CD"/>
    <w:rsid w:val="72C1546B"/>
    <w:rsid w:val="730418F3"/>
    <w:rsid w:val="73455C21"/>
    <w:rsid w:val="73D425F7"/>
    <w:rsid w:val="741D7214"/>
    <w:rsid w:val="74B10A6C"/>
    <w:rsid w:val="750A2023"/>
    <w:rsid w:val="75672AFC"/>
    <w:rsid w:val="75C57CED"/>
    <w:rsid w:val="76356303"/>
    <w:rsid w:val="76515E10"/>
    <w:rsid w:val="766679F1"/>
    <w:rsid w:val="7676736A"/>
    <w:rsid w:val="767F7268"/>
    <w:rsid w:val="76933951"/>
    <w:rsid w:val="76B0156B"/>
    <w:rsid w:val="771D661B"/>
    <w:rsid w:val="771F7714"/>
    <w:rsid w:val="778A0884"/>
    <w:rsid w:val="78782A0D"/>
    <w:rsid w:val="7883389A"/>
    <w:rsid w:val="7884239C"/>
    <w:rsid w:val="78D319C1"/>
    <w:rsid w:val="78F92D89"/>
    <w:rsid w:val="793156E6"/>
    <w:rsid w:val="79A2171F"/>
    <w:rsid w:val="79A252FF"/>
    <w:rsid w:val="79B87B65"/>
    <w:rsid w:val="79CE59E0"/>
    <w:rsid w:val="79D33056"/>
    <w:rsid w:val="7B226C12"/>
    <w:rsid w:val="7BDD743A"/>
    <w:rsid w:val="7C26369C"/>
    <w:rsid w:val="7C396F20"/>
    <w:rsid w:val="7C805BA4"/>
    <w:rsid w:val="7C940F43"/>
    <w:rsid w:val="7C9E5A24"/>
    <w:rsid w:val="7CAC00CB"/>
    <w:rsid w:val="7CC76BD4"/>
    <w:rsid w:val="7CCB1622"/>
    <w:rsid w:val="7D575412"/>
    <w:rsid w:val="7D62117D"/>
    <w:rsid w:val="7DB54254"/>
    <w:rsid w:val="7DB5752C"/>
    <w:rsid w:val="7E03036B"/>
    <w:rsid w:val="7E053373"/>
    <w:rsid w:val="7E3E1EF2"/>
    <w:rsid w:val="7E532923"/>
    <w:rsid w:val="7E951513"/>
    <w:rsid w:val="7EA11669"/>
    <w:rsid w:val="7EBC2810"/>
    <w:rsid w:val="7EF74F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FDD6236-E780-419F-B22B-254D8CA3E6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0" w:qFormat="1"/>
    <w:lsdException w:name="footer" w:semiHidden="1" w:unhideWhenUsed="1" w:qFormat="1"/>
    <w:lsdException w:name="index heading" w:semiHidden="1" w:unhideWhenUsed="1"/>
    <w:lsdException w:name="caption" w:semiHidden="1" w:unhideWhenUsed="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5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Lines="50" w:afterLines="50"/>
      <w:jc w:val="both"/>
    </w:pPr>
    <w:rPr>
      <w:kern w:val="2"/>
      <w:sz w:val="21"/>
    </w:rPr>
  </w:style>
  <w:style w:type="paragraph" w:styleId="1">
    <w:name w:val="heading 1"/>
    <w:basedOn w:val="a"/>
    <w:next w:val="a"/>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qFormat/>
    <w:pPr>
      <w:numPr>
        <w:ilvl w:val="1"/>
      </w:numPr>
      <w:pBdr>
        <w:top w:val="none" w:sz="0" w:space="0" w:color="auto"/>
      </w:pBdr>
      <w:spacing w:before="180"/>
      <w:ind w:rightChars="100" w:right="100"/>
      <w:outlineLvl w:val="1"/>
    </w:pPr>
    <w:rPr>
      <w:sz w:val="28"/>
    </w:rPr>
  </w:style>
  <w:style w:type="paragraph" w:styleId="3">
    <w:name w:val="heading 3"/>
    <w:basedOn w:val="2"/>
    <w:next w:val="a"/>
    <w:qFormat/>
    <w:pPr>
      <w:numPr>
        <w:ilvl w:val="2"/>
      </w:numPr>
      <w:spacing w:before="120"/>
      <w:ind w:left="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unhideWhenUsed/>
    <w:qFormat/>
    <w:rPr>
      <w:rFonts w:ascii="宋体"/>
      <w:sz w:val="18"/>
      <w:szCs w:val="18"/>
    </w:rPr>
  </w:style>
  <w:style w:type="paragraph" w:styleId="a4">
    <w:name w:val="annotation text"/>
    <w:basedOn w:val="a"/>
    <w:link w:val="Char0"/>
    <w:uiPriority w:val="99"/>
    <w:semiHidden/>
    <w:unhideWhenUsed/>
    <w:qFormat/>
    <w:pPr>
      <w:jc w:val="left"/>
    </w:pPr>
  </w:style>
  <w:style w:type="paragraph" w:styleId="30">
    <w:name w:val="toc 3"/>
    <w:basedOn w:val="a"/>
    <w:next w:val="a"/>
    <w:uiPriority w:val="99"/>
    <w:unhideWhenUsed/>
    <w:qFormat/>
    <w:pPr>
      <w:adjustRightInd w:val="0"/>
      <w:ind w:leftChars="400" w:left="1282" w:hangingChars="200" w:hanging="442"/>
    </w:pPr>
    <w:rPr>
      <w:b/>
      <w:i/>
      <w:sz w:val="20"/>
    </w:rPr>
  </w:style>
  <w:style w:type="paragraph" w:styleId="a5">
    <w:name w:val="Balloon Text"/>
    <w:basedOn w:val="a"/>
    <w:link w:val="Char1"/>
    <w:uiPriority w:val="99"/>
    <w:semiHidden/>
    <w:unhideWhenUsed/>
    <w:qFormat/>
    <w:rPr>
      <w:sz w:val="18"/>
      <w:szCs w:val="18"/>
    </w:rPr>
  </w:style>
  <w:style w:type="paragraph" w:styleId="a6">
    <w:name w:val="footer"/>
    <w:basedOn w:val="a"/>
    <w:uiPriority w:val="99"/>
    <w:semiHidden/>
    <w:unhideWhenUsed/>
    <w:qFormat/>
    <w:pPr>
      <w:tabs>
        <w:tab w:val="center" w:pos="4153"/>
        <w:tab w:val="right" w:pos="8306"/>
      </w:tabs>
      <w:snapToGrid w:val="0"/>
      <w:jc w:val="left"/>
    </w:pPr>
    <w:rPr>
      <w:sz w:val="18"/>
      <w:szCs w:val="18"/>
    </w:rPr>
  </w:style>
  <w:style w:type="paragraph" w:styleId="a7">
    <w:name w:val="header"/>
    <w:basedOn w:val="a"/>
    <w:semiHidden/>
    <w:qFormat/>
    <w:pPr>
      <w:tabs>
        <w:tab w:val="center" w:pos="4680"/>
        <w:tab w:val="right" w:pos="9360"/>
      </w:tabs>
    </w:pPr>
  </w:style>
  <w:style w:type="paragraph" w:styleId="10">
    <w:name w:val="toc 1"/>
    <w:basedOn w:val="a"/>
    <w:next w:val="a"/>
    <w:uiPriority w:val="39"/>
    <w:unhideWhenUsed/>
    <w:qFormat/>
    <w:pPr>
      <w:tabs>
        <w:tab w:val="decimal" w:pos="0"/>
        <w:tab w:val="right" w:pos="9660"/>
      </w:tabs>
      <w:ind w:rightChars="200" w:right="420"/>
      <w:jc w:val="left"/>
    </w:pPr>
    <w:rPr>
      <w:rFonts w:eastAsiaTheme="minorEastAsia"/>
      <w:b/>
      <w:bCs/>
      <w:i/>
      <w:iCs/>
      <w:sz w:val="20"/>
    </w:rPr>
  </w:style>
  <w:style w:type="paragraph" w:styleId="a8">
    <w:name w:val="table of figures"/>
    <w:basedOn w:val="a"/>
    <w:next w:val="a"/>
    <w:uiPriority w:val="99"/>
    <w:semiHidden/>
    <w:unhideWhenUsed/>
    <w:qFormat/>
    <w:pPr>
      <w:ind w:leftChars="200" w:left="200" w:hangingChars="200" w:hanging="200"/>
    </w:pPr>
  </w:style>
  <w:style w:type="paragraph" w:styleId="20">
    <w:name w:val="toc 2"/>
    <w:basedOn w:val="a"/>
    <w:next w:val="a"/>
    <w:uiPriority w:val="39"/>
    <w:unhideWhenUsed/>
    <w:qFormat/>
    <w:pPr>
      <w:tabs>
        <w:tab w:val="right" w:pos="420"/>
      </w:tabs>
      <w:ind w:leftChars="200" w:left="862" w:hangingChars="200" w:hanging="442"/>
      <w:jc w:val="left"/>
    </w:pPr>
    <w:rPr>
      <w:b/>
      <w:i/>
      <w:sz w:val="20"/>
    </w:rPr>
  </w:style>
  <w:style w:type="paragraph" w:styleId="a9">
    <w:name w:val="annotation subject"/>
    <w:basedOn w:val="a4"/>
    <w:next w:val="a4"/>
    <w:link w:val="Char2"/>
    <w:uiPriority w:val="99"/>
    <w:semiHidden/>
    <w:unhideWhenUsed/>
    <w:qFormat/>
    <w:rPr>
      <w:b/>
      <w:bCs/>
    </w:rPr>
  </w:style>
  <w:style w:type="table" w:styleId="aa">
    <w:name w:val="Table Grid"/>
    <w:basedOn w:val="a1"/>
    <w:uiPriority w:val="5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uiPriority w:val="22"/>
    <w:qFormat/>
    <w:rPr>
      <w:b/>
      <w:bCs/>
    </w:rPr>
  </w:style>
  <w:style w:type="character" w:styleId="ac">
    <w:name w:val="Hyperlink"/>
    <w:basedOn w:val="a0"/>
    <w:uiPriority w:val="99"/>
    <w:unhideWhenUsed/>
    <w:qFormat/>
    <w:rPr>
      <w:color w:val="0000FF" w:themeColor="hyperlink"/>
      <w:u w:val="single"/>
    </w:rPr>
  </w:style>
  <w:style w:type="character" w:styleId="ad">
    <w:name w:val="annotation reference"/>
    <w:uiPriority w:val="99"/>
    <w:qFormat/>
    <w:rPr>
      <w:sz w:val="16"/>
    </w:rPr>
  </w:style>
  <w:style w:type="paragraph" w:customStyle="1" w:styleId="YJ-Observation">
    <w:name w:val="YJ-Observation"/>
    <w:basedOn w:val="YJ-Proposal"/>
    <w:qFormat/>
    <w:pPr>
      <w:numPr>
        <w:numId w:val="2"/>
      </w:numPr>
      <w:tabs>
        <w:tab w:val="left" w:pos="420"/>
      </w:tabs>
    </w:pPr>
  </w:style>
  <w:style w:type="paragraph" w:customStyle="1" w:styleId="YJ-Proposal">
    <w:name w:val="YJ-Proposal"/>
    <w:basedOn w:val="a"/>
    <w:qFormat/>
    <w:pPr>
      <w:numPr>
        <w:numId w:val="3"/>
      </w:numPr>
      <w:jc w:val="left"/>
    </w:pPr>
    <w:rPr>
      <w:rFonts w:eastAsiaTheme="minorEastAsia"/>
      <w:b/>
      <w:bCs/>
      <w:i/>
      <w:iCs/>
      <w:sz w:val="20"/>
      <w:lang w:val="en-GB" w:eastAsia="en-US"/>
    </w:rPr>
  </w:style>
  <w:style w:type="paragraph" w:customStyle="1" w:styleId="sub-proposal">
    <w:name w:val="sub-proposal"/>
    <w:basedOn w:val="YJ-Proposal"/>
    <w:next w:val="a"/>
    <w:qFormat/>
    <w:pPr>
      <w:numPr>
        <w:numId w:val="4"/>
      </w:numPr>
      <w:tabs>
        <w:tab w:val="left" w:pos="807"/>
      </w:tabs>
      <w:ind w:leftChars="200" w:left="862" w:hangingChars="200" w:hanging="442"/>
    </w:pPr>
  </w:style>
  <w:style w:type="paragraph" w:customStyle="1" w:styleId="sub-observation">
    <w:name w:val="sub-observation"/>
    <w:basedOn w:val="sub-proposal"/>
    <w:next w:val="a"/>
    <w:qFormat/>
  </w:style>
  <w:style w:type="paragraph" w:customStyle="1" w:styleId="3rdlevelproposal">
    <w:name w:val="3rd level proposal"/>
    <w:basedOn w:val="sub-proposal"/>
    <w:next w:val="a"/>
    <w:qFormat/>
    <w:pPr>
      <w:numPr>
        <w:numId w:val="5"/>
      </w:numPr>
      <w:ind w:leftChars="400" w:left="1282" w:hanging="442"/>
    </w:pPr>
  </w:style>
  <w:style w:type="paragraph" w:customStyle="1" w:styleId="3rdlevelobservation">
    <w:name w:val="3rd level observation"/>
    <w:basedOn w:val="sub-observation"/>
    <w:qFormat/>
    <w:pPr>
      <w:numPr>
        <w:numId w:val="6"/>
      </w:numPr>
      <w:ind w:leftChars="400" w:left="1282" w:hanging="442"/>
    </w:pPr>
  </w:style>
  <w:style w:type="paragraph" w:customStyle="1" w:styleId="References">
    <w:name w:val="References"/>
    <w:basedOn w:val="a"/>
    <w:qFormat/>
    <w:pPr>
      <w:numPr>
        <w:numId w:val="7"/>
      </w:numPr>
      <w:spacing w:after="60"/>
    </w:pPr>
    <w:rPr>
      <w:szCs w:val="16"/>
    </w:rPr>
  </w:style>
  <w:style w:type="paragraph" w:styleId="ae">
    <w:name w:val="List Paragraph"/>
    <w:basedOn w:val="a"/>
    <w:uiPriority w:val="34"/>
    <w:qFormat/>
    <w:pPr>
      <w:spacing w:beforeLines="0"/>
      <w:ind w:left="720"/>
      <w:contextualSpacing/>
    </w:pPr>
    <w:rPr>
      <w:rFonts w:eastAsia="Times New Roman"/>
      <w:sz w:val="24"/>
      <w:szCs w:val="24"/>
    </w:rPr>
  </w:style>
  <w:style w:type="paragraph" w:customStyle="1" w:styleId="11">
    <w:name w:val="样式1"/>
    <w:basedOn w:val="a"/>
    <w:qFormat/>
  </w:style>
  <w:style w:type="paragraph" w:customStyle="1" w:styleId="21">
    <w:name w:val="样式2"/>
    <w:basedOn w:val="a"/>
    <w:qFormat/>
  </w:style>
  <w:style w:type="character" w:customStyle="1" w:styleId="Char">
    <w:name w:val="文档结构图 Char"/>
    <w:basedOn w:val="a0"/>
    <w:link w:val="a3"/>
    <w:uiPriority w:val="99"/>
    <w:semiHidden/>
    <w:qFormat/>
    <w:rPr>
      <w:rFonts w:ascii="宋体"/>
      <w:kern w:val="2"/>
      <w:sz w:val="18"/>
      <w:szCs w:val="18"/>
    </w:rPr>
  </w:style>
  <w:style w:type="character" w:customStyle="1" w:styleId="Char1">
    <w:name w:val="批注框文本 Char"/>
    <w:basedOn w:val="a0"/>
    <w:link w:val="a5"/>
    <w:uiPriority w:val="99"/>
    <w:semiHidden/>
    <w:qFormat/>
    <w:rPr>
      <w:kern w:val="2"/>
      <w:sz w:val="18"/>
      <w:szCs w:val="18"/>
    </w:rPr>
  </w:style>
  <w:style w:type="character" w:customStyle="1" w:styleId="Char0">
    <w:name w:val="批注文字 Char"/>
    <w:basedOn w:val="a0"/>
    <w:link w:val="a4"/>
    <w:uiPriority w:val="99"/>
    <w:semiHidden/>
    <w:qFormat/>
    <w:rPr>
      <w:kern w:val="2"/>
      <w:sz w:val="21"/>
    </w:rPr>
  </w:style>
  <w:style w:type="character" w:customStyle="1" w:styleId="Char2">
    <w:name w:val="批注主题 Char"/>
    <w:basedOn w:val="Char0"/>
    <w:link w:val="a9"/>
    <w:qFormat/>
    <w:rPr>
      <w:kern w:val="2"/>
      <w:sz w:val="21"/>
    </w:rPr>
  </w:style>
  <w:style w:type="paragraph" w:customStyle="1" w:styleId="B1">
    <w:name w:val="B1"/>
    <w:basedOn w:val="a"/>
    <w:qFormat/>
    <w:pPr>
      <w:ind w:left="568" w:hanging="284"/>
    </w:pPr>
    <w:rPr>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2806</Words>
  <Characters>15998</Characters>
  <Application>Microsoft Office Word</Application>
  <DocSecurity>0</DocSecurity>
  <Lines>133</Lines>
  <Paragraphs>37</Paragraphs>
  <ScaleCrop>false</ScaleCrop>
  <Company>ZTE</Company>
  <LinksUpToDate>false</LinksUpToDate>
  <CharactersWithSpaces>18767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xingweimin</cp:lastModifiedBy>
  <cp:revision>11</cp:revision>
  <dcterms:created xsi:type="dcterms:W3CDTF">2021-01-17T13:40:00Z</dcterms:created>
  <dcterms:modified xsi:type="dcterms:W3CDTF">2021-04-07T01:06:00Z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